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6C855F" w14:textId="3D9D52B7" w:rsidR="00F20A95" w:rsidRDefault="00F20A95" w:rsidP="00AA73C9">
      <w:pPr>
        <w:spacing w:after="0" w:line="240" w:lineRule="auto"/>
        <w:jc w:val="center"/>
        <w:rPr>
          <w:rFonts w:ascii="Times New Roman" w:hAnsi="Times New Roman" w:cs="Times New Roman"/>
          <w:b/>
          <w:sz w:val="24"/>
          <w:szCs w:val="24"/>
        </w:rPr>
      </w:pPr>
      <w:bookmarkStart w:id="0" w:name="_GoBack"/>
      <w:bookmarkEnd w:id="0"/>
      <w:r w:rsidRPr="00F20A95">
        <w:rPr>
          <w:rFonts w:ascii="Times New Roman" w:hAnsi="Times New Roman" w:cs="Times New Roman"/>
          <w:b/>
          <w:sz w:val="24"/>
          <w:szCs w:val="24"/>
        </w:rPr>
        <w:t>Мерчандайзинг в современном мире</w:t>
      </w:r>
    </w:p>
    <w:p w14:paraId="577B1AA9" w14:textId="77777777" w:rsidR="00AA73C9" w:rsidRPr="00F20A95" w:rsidRDefault="00AA73C9" w:rsidP="00AA73C9">
      <w:pPr>
        <w:spacing w:after="0" w:line="240" w:lineRule="auto"/>
        <w:jc w:val="center"/>
        <w:rPr>
          <w:rFonts w:ascii="Times New Roman" w:hAnsi="Times New Roman" w:cs="Times New Roman"/>
          <w:b/>
          <w:sz w:val="24"/>
          <w:szCs w:val="24"/>
        </w:rPr>
      </w:pPr>
    </w:p>
    <w:p w14:paraId="69636A69" w14:textId="79BA0EE2" w:rsidR="00F20A95" w:rsidRDefault="001D53E7" w:rsidP="00AA73C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Баканов Андрей Андреевич, бакалавр;</w:t>
      </w:r>
    </w:p>
    <w:p w14:paraId="0A2CF4DA" w14:textId="76B4E6B3" w:rsidR="001D53E7" w:rsidRPr="00F20A95" w:rsidRDefault="001D53E7" w:rsidP="00AA73C9">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 xml:space="preserve">Корж Трофим Игоревич, бакалавр, </w:t>
      </w:r>
    </w:p>
    <w:p w14:paraId="25F63A61" w14:textId="62CC3726" w:rsidR="00F20A95" w:rsidRPr="00F20A95" w:rsidRDefault="00F20A95" w:rsidP="00AA73C9">
      <w:pPr>
        <w:spacing w:after="0" w:line="240" w:lineRule="auto"/>
        <w:jc w:val="center"/>
        <w:rPr>
          <w:rFonts w:ascii="Times New Roman" w:hAnsi="Times New Roman" w:cs="Times New Roman"/>
          <w:bCs/>
          <w:sz w:val="24"/>
          <w:szCs w:val="24"/>
        </w:rPr>
      </w:pPr>
      <w:r w:rsidRPr="00F20A95">
        <w:rPr>
          <w:rFonts w:ascii="Times New Roman" w:hAnsi="Times New Roman" w:cs="Times New Roman"/>
          <w:bCs/>
          <w:sz w:val="24"/>
          <w:szCs w:val="24"/>
        </w:rPr>
        <w:t>ФБГОУ ВО «Владивостокский государственный университет»</w:t>
      </w:r>
    </w:p>
    <w:p w14:paraId="722A54DB" w14:textId="77777777" w:rsidR="00F20A95" w:rsidRPr="00F20A95" w:rsidRDefault="00F20A95" w:rsidP="00AA73C9">
      <w:pPr>
        <w:spacing w:after="0" w:line="240" w:lineRule="auto"/>
        <w:jc w:val="center"/>
        <w:rPr>
          <w:rFonts w:ascii="Times New Roman" w:hAnsi="Times New Roman" w:cs="Times New Roman"/>
          <w:bCs/>
          <w:sz w:val="24"/>
          <w:szCs w:val="24"/>
        </w:rPr>
      </w:pPr>
      <w:r w:rsidRPr="00F20A95">
        <w:rPr>
          <w:rFonts w:ascii="Times New Roman" w:hAnsi="Times New Roman" w:cs="Times New Roman"/>
          <w:bCs/>
          <w:sz w:val="24"/>
          <w:szCs w:val="24"/>
        </w:rPr>
        <w:t>Россия. Владивосток</w:t>
      </w:r>
    </w:p>
    <w:p w14:paraId="5D06498C" w14:textId="0FCD9A42" w:rsidR="00F20A95" w:rsidRPr="001D53E7" w:rsidRDefault="00F20A95" w:rsidP="00AA73C9">
      <w:pPr>
        <w:spacing w:after="0" w:line="240" w:lineRule="auto"/>
        <w:jc w:val="center"/>
        <w:rPr>
          <w:rFonts w:ascii="Times New Roman" w:hAnsi="Times New Roman" w:cs="Times New Roman"/>
          <w:bCs/>
          <w:sz w:val="24"/>
          <w:szCs w:val="24"/>
          <w:lang w:val="en-US"/>
        </w:rPr>
      </w:pPr>
      <w:r w:rsidRPr="00AA73C9">
        <w:rPr>
          <w:rFonts w:ascii="Times New Roman" w:hAnsi="Times New Roman" w:cs="Times New Roman"/>
          <w:bCs/>
          <w:sz w:val="24"/>
          <w:szCs w:val="24"/>
          <w:lang w:val="en-US"/>
        </w:rPr>
        <w:t>E</w:t>
      </w:r>
      <w:r w:rsidRPr="006E77F1">
        <w:rPr>
          <w:rFonts w:ascii="Times New Roman" w:hAnsi="Times New Roman" w:cs="Times New Roman"/>
          <w:bCs/>
          <w:sz w:val="24"/>
          <w:szCs w:val="24"/>
        </w:rPr>
        <w:t>-</w:t>
      </w:r>
      <w:r w:rsidRPr="00AA73C9">
        <w:rPr>
          <w:rFonts w:ascii="Times New Roman" w:hAnsi="Times New Roman" w:cs="Times New Roman"/>
          <w:bCs/>
          <w:sz w:val="24"/>
          <w:szCs w:val="24"/>
          <w:lang w:val="en-US"/>
        </w:rPr>
        <w:t>mail</w:t>
      </w:r>
      <w:r w:rsidRPr="006E77F1">
        <w:rPr>
          <w:rFonts w:ascii="Times New Roman" w:hAnsi="Times New Roman" w:cs="Times New Roman"/>
          <w:bCs/>
          <w:sz w:val="24"/>
          <w:szCs w:val="24"/>
        </w:rPr>
        <w:t>:</w:t>
      </w:r>
      <w:r w:rsidR="001D53E7" w:rsidRPr="006E77F1">
        <w:rPr>
          <w:rFonts w:ascii="Times New Roman" w:hAnsi="Times New Roman" w:cs="Times New Roman"/>
          <w:bCs/>
          <w:sz w:val="24"/>
          <w:szCs w:val="24"/>
        </w:rPr>
        <w:t xml:space="preserve"> </w:t>
      </w:r>
      <w:r w:rsidR="001D53E7">
        <w:rPr>
          <w:rFonts w:ascii="Times New Roman" w:hAnsi="Times New Roman" w:cs="Times New Roman"/>
          <w:bCs/>
          <w:sz w:val="24"/>
          <w:szCs w:val="24"/>
          <w:lang w:val="en-US"/>
        </w:rPr>
        <w:t>Andrew</w:t>
      </w:r>
      <w:r w:rsidR="001D53E7" w:rsidRPr="006E77F1">
        <w:rPr>
          <w:rFonts w:ascii="Times New Roman" w:hAnsi="Times New Roman" w:cs="Times New Roman"/>
          <w:bCs/>
          <w:sz w:val="24"/>
          <w:szCs w:val="24"/>
        </w:rPr>
        <w:t>_</w:t>
      </w:r>
      <w:r w:rsidR="001D53E7">
        <w:rPr>
          <w:rFonts w:ascii="Times New Roman" w:hAnsi="Times New Roman" w:cs="Times New Roman"/>
          <w:bCs/>
          <w:sz w:val="24"/>
          <w:szCs w:val="24"/>
          <w:lang w:val="en-US"/>
        </w:rPr>
        <w:t>bakanov</w:t>
      </w:r>
      <w:r w:rsidR="001D53E7" w:rsidRPr="006E77F1">
        <w:rPr>
          <w:rFonts w:ascii="Times New Roman" w:hAnsi="Times New Roman" w:cs="Times New Roman"/>
          <w:bCs/>
          <w:sz w:val="24"/>
          <w:szCs w:val="24"/>
        </w:rPr>
        <w:t>@</w:t>
      </w:r>
      <w:r w:rsidR="001D53E7">
        <w:rPr>
          <w:rFonts w:ascii="Times New Roman" w:hAnsi="Times New Roman" w:cs="Times New Roman"/>
          <w:bCs/>
          <w:sz w:val="24"/>
          <w:szCs w:val="24"/>
          <w:lang w:val="en-US"/>
        </w:rPr>
        <w:t>edu</w:t>
      </w:r>
      <w:r w:rsidR="001D53E7" w:rsidRPr="006E77F1">
        <w:rPr>
          <w:rFonts w:ascii="Times New Roman" w:hAnsi="Times New Roman" w:cs="Times New Roman"/>
          <w:bCs/>
          <w:sz w:val="24"/>
          <w:szCs w:val="24"/>
        </w:rPr>
        <w:t>.</w:t>
      </w:r>
      <w:r w:rsidR="001D53E7">
        <w:rPr>
          <w:rFonts w:ascii="Times New Roman" w:hAnsi="Times New Roman" w:cs="Times New Roman"/>
          <w:bCs/>
          <w:sz w:val="24"/>
          <w:szCs w:val="24"/>
          <w:lang w:val="en-US"/>
        </w:rPr>
        <w:t>vvsu</w:t>
      </w:r>
      <w:r w:rsidR="001D53E7" w:rsidRPr="006E77F1">
        <w:rPr>
          <w:rFonts w:ascii="Times New Roman" w:hAnsi="Times New Roman" w:cs="Times New Roman"/>
          <w:bCs/>
          <w:sz w:val="24"/>
          <w:szCs w:val="24"/>
        </w:rPr>
        <w:t>.</w:t>
      </w:r>
      <w:r w:rsidR="001D53E7">
        <w:rPr>
          <w:rFonts w:ascii="Times New Roman" w:hAnsi="Times New Roman" w:cs="Times New Roman"/>
          <w:bCs/>
          <w:sz w:val="24"/>
          <w:szCs w:val="24"/>
          <w:lang w:val="en-US"/>
        </w:rPr>
        <w:t>ru</w:t>
      </w:r>
      <w:r w:rsidRPr="006E77F1">
        <w:rPr>
          <w:rFonts w:ascii="Times New Roman" w:hAnsi="Times New Roman" w:cs="Times New Roman"/>
          <w:bCs/>
          <w:sz w:val="24"/>
          <w:szCs w:val="24"/>
        </w:rPr>
        <w:t xml:space="preserve">; </w:t>
      </w:r>
      <w:r w:rsidRPr="00F20A95">
        <w:rPr>
          <w:rFonts w:ascii="Times New Roman" w:hAnsi="Times New Roman" w:cs="Times New Roman"/>
          <w:bCs/>
          <w:sz w:val="24"/>
          <w:szCs w:val="24"/>
        </w:rPr>
        <w:t>Тел</w:t>
      </w:r>
      <w:r w:rsidRPr="006E77F1">
        <w:rPr>
          <w:rFonts w:ascii="Times New Roman" w:hAnsi="Times New Roman" w:cs="Times New Roman"/>
          <w:bCs/>
          <w:sz w:val="24"/>
          <w:szCs w:val="24"/>
        </w:rPr>
        <w:t xml:space="preserve">. </w:t>
      </w:r>
      <w:r w:rsidR="001D53E7">
        <w:rPr>
          <w:rFonts w:ascii="Times New Roman" w:hAnsi="Times New Roman" w:cs="Times New Roman"/>
          <w:bCs/>
          <w:sz w:val="24"/>
          <w:szCs w:val="24"/>
          <w:lang w:val="en-US"/>
        </w:rPr>
        <w:t>+79149727091</w:t>
      </w:r>
    </w:p>
    <w:p w14:paraId="658276D9" w14:textId="55406097" w:rsidR="00F20A95" w:rsidRDefault="00F20A95" w:rsidP="00AA73C9">
      <w:pPr>
        <w:spacing w:after="0" w:line="240" w:lineRule="auto"/>
        <w:jc w:val="center"/>
        <w:rPr>
          <w:rFonts w:ascii="Times New Roman" w:hAnsi="Times New Roman" w:cs="Times New Roman"/>
          <w:bCs/>
          <w:sz w:val="24"/>
          <w:szCs w:val="24"/>
        </w:rPr>
      </w:pPr>
      <w:r w:rsidRPr="00F20A95">
        <w:rPr>
          <w:rFonts w:ascii="Times New Roman" w:hAnsi="Times New Roman" w:cs="Times New Roman"/>
          <w:bCs/>
          <w:sz w:val="24"/>
          <w:szCs w:val="24"/>
        </w:rPr>
        <w:t>ул. Гоголя, 41, г. Владивосток, Приморский край, Россия, 690014</w:t>
      </w:r>
    </w:p>
    <w:p w14:paraId="11455BD1" w14:textId="77777777" w:rsidR="00F20A95" w:rsidRDefault="00F20A95" w:rsidP="00AA73C9">
      <w:pPr>
        <w:spacing w:after="0" w:line="240" w:lineRule="auto"/>
        <w:ind w:firstLine="709"/>
        <w:jc w:val="center"/>
        <w:rPr>
          <w:rFonts w:ascii="Times New Roman" w:hAnsi="Times New Roman" w:cs="Times New Roman"/>
          <w:bCs/>
          <w:sz w:val="24"/>
          <w:szCs w:val="24"/>
        </w:rPr>
      </w:pPr>
    </w:p>
    <w:p w14:paraId="2CE00D49" w14:textId="5F800E3F" w:rsidR="00F20A95" w:rsidRDefault="00F20A95" w:rsidP="00F20A95">
      <w:pPr>
        <w:spacing w:after="0" w:line="240" w:lineRule="auto"/>
        <w:ind w:firstLine="709"/>
        <w:jc w:val="both"/>
        <w:rPr>
          <w:rFonts w:ascii="Times New Roman" w:hAnsi="Times New Roman" w:cs="Times New Roman"/>
          <w:bCs/>
          <w:i/>
          <w:sz w:val="24"/>
          <w:szCs w:val="24"/>
        </w:rPr>
      </w:pPr>
      <w:r w:rsidRPr="00F20A95">
        <w:rPr>
          <w:rFonts w:ascii="Times New Roman" w:hAnsi="Times New Roman" w:cs="Times New Roman"/>
          <w:bCs/>
          <w:i/>
          <w:sz w:val="24"/>
          <w:szCs w:val="24"/>
        </w:rPr>
        <w:t>В условиях стремительной цифровизации, глобальных экономических изменений и новых потребительских трендов мерчендайзинг становится ключевым инструментом конкурентоспособности компаний в сфере торговли. Пандемия COVID-19, санкционные ограничения 2022–2023 гг., а также рост доли онлайн-продаж до 35% в общем объеме розницы (по данным Data Insight) радикально изменили подходы к управлению товарным ассортиментом. Актуальность темы обусловлена необходимостью адаптации традиционных методов мерчендайзинга к цифровой реальности, где искусственный интеллект, Big Data и иммерсивные технологии задают новые стандарты взаимодействия с покупателем. Вследствие этого тема является актуальной.</w:t>
      </w:r>
    </w:p>
    <w:p w14:paraId="0EE06A75" w14:textId="77777777" w:rsidR="00AE3A18" w:rsidRDefault="00AE3A18" w:rsidP="00F20A95">
      <w:pPr>
        <w:spacing w:after="0" w:line="240" w:lineRule="auto"/>
        <w:ind w:firstLine="709"/>
        <w:jc w:val="both"/>
        <w:rPr>
          <w:rFonts w:ascii="Times New Roman" w:hAnsi="Times New Roman" w:cs="Times New Roman"/>
          <w:b/>
          <w:bCs/>
          <w:i/>
          <w:sz w:val="24"/>
          <w:szCs w:val="24"/>
        </w:rPr>
      </w:pPr>
    </w:p>
    <w:p w14:paraId="4C36F3F2" w14:textId="5DA3948A" w:rsidR="00AE3A18" w:rsidRDefault="00AE3A18" w:rsidP="001D53E7">
      <w:pPr>
        <w:spacing w:after="0" w:line="240" w:lineRule="auto"/>
        <w:ind w:firstLine="709"/>
        <w:jc w:val="both"/>
        <w:rPr>
          <w:rFonts w:ascii="Times New Roman" w:hAnsi="Times New Roman" w:cs="Times New Roman"/>
          <w:bCs/>
          <w:i/>
          <w:sz w:val="24"/>
          <w:szCs w:val="24"/>
        </w:rPr>
      </w:pPr>
      <w:r w:rsidRPr="00AE3A18">
        <w:rPr>
          <w:rFonts w:ascii="Times New Roman" w:hAnsi="Times New Roman" w:cs="Times New Roman"/>
          <w:b/>
          <w:bCs/>
          <w:i/>
          <w:sz w:val="24"/>
          <w:szCs w:val="24"/>
        </w:rPr>
        <w:t>Ключевые слова</w:t>
      </w:r>
      <w:r>
        <w:rPr>
          <w:rFonts w:ascii="Times New Roman" w:hAnsi="Times New Roman" w:cs="Times New Roman"/>
          <w:b/>
          <w:bCs/>
          <w:i/>
          <w:sz w:val="24"/>
          <w:szCs w:val="24"/>
        </w:rPr>
        <w:t xml:space="preserve"> и словосочетания</w:t>
      </w:r>
      <w:r w:rsidRPr="00AE3A18">
        <w:rPr>
          <w:rFonts w:ascii="Times New Roman" w:hAnsi="Times New Roman" w:cs="Times New Roman"/>
          <w:bCs/>
          <w:i/>
          <w:sz w:val="24"/>
          <w:szCs w:val="24"/>
        </w:rPr>
        <w:t>: мерчендайзинг, логистика, цифровые технологии, ритейл, маркетплейсы.</w:t>
      </w:r>
    </w:p>
    <w:p w14:paraId="678665AC" w14:textId="77777777" w:rsidR="001D53E7" w:rsidRDefault="001D53E7" w:rsidP="001D53E7">
      <w:pPr>
        <w:spacing w:after="0" w:line="240" w:lineRule="auto"/>
        <w:ind w:firstLine="709"/>
        <w:jc w:val="both"/>
        <w:rPr>
          <w:rFonts w:ascii="Times New Roman" w:hAnsi="Times New Roman" w:cs="Times New Roman"/>
          <w:bCs/>
          <w:i/>
          <w:sz w:val="24"/>
          <w:szCs w:val="24"/>
        </w:rPr>
      </w:pPr>
    </w:p>
    <w:p w14:paraId="6FDEEE0C" w14:textId="1A6B224F" w:rsidR="00AE3A18" w:rsidRPr="00AE3A18" w:rsidRDefault="00AE3A18" w:rsidP="00AE3A18">
      <w:pPr>
        <w:spacing w:after="0" w:line="240" w:lineRule="auto"/>
        <w:ind w:firstLine="709"/>
        <w:jc w:val="center"/>
        <w:rPr>
          <w:rFonts w:ascii="Times New Roman" w:hAnsi="Times New Roman" w:cs="Times New Roman"/>
          <w:b/>
          <w:bCs/>
          <w:sz w:val="24"/>
          <w:szCs w:val="24"/>
          <w:lang w:val="en-US"/>
        </w:rPr>
      </w:pPr>
      <w:r w:rsidRPr="00AE3A18">
        <w:rPr>
          <w:rFonts w:ascii="Times New Roman" w:hAnsi="Times New Roman" w:cs="Times New Roman"/>
          <w:b/>
          <w:bCs/>
          <w:sz w:val="24"/>
          <w:szCs w:val="24"/>
          <w:lang w:val="en-US"/>
        </w:rPr>
        <w:t>Merchandising in the modern world</w:t>
      </w:r>
    </w:p>
    <w:p w14:paraId="565F4615" w14:textId="77777777" w:rsidR="00AE3A18" w:rsidRDefault="00AE3A18" w:rsidP="00F20A95">
      <w:pPr>
        <w:spacing w:after="0" w:line="240" w:lineRule="auto"/>
        <w:ind w:firstLine="709"/>
        <w:jc w:val="both"/>
        <w:rPr>
          <w:rFonts w:ascii="Times New Roman" w:hAnsi="Times New Roman" w:cs="Times New Roman"/>
          <w:bCs/>
          <w:i/>
          <w:sz w:val="24"/>
          <w:szCs w:val="24"/>
          <w:lang w:val="en-US"/>
        </w:rPr>
      </w:pPr>
    </w:p>
    <w:p w14:paraId="73397BC1" w14:textId="3B84C74F" w:rsidR="00AE3A18" w:rsidRPr="00D52BCF" w:rsidRDefault="00AE3A18" w:rsidP="00F20A95">
      <w:pPr>
        <w:spacing w:after="0" w:line="240" w:lineRule="auto"/>
        <w:ind w:firstLine="709"/>
        <w:jc w:val="both"/>
        <w:rPr>
          <w:rFonts w:ascii="Times New Roman" w:hAnsi="Times New Roman" w:cs="Times New Roman"/>
          <w:bCs/>
          <w:i/>
          <w:sz w:val="24"/>
          <w:szCs w:val="24"/>
          <w:lang w:val="en-US"/>
        </w:rPr>
      </w:pPr>
      <w:r w:rsidRPr="00AE3A18">
        <w:rPr>
          <w:rFonts w:ascii="Times New Roman" w:hAnsi="Times New Roman" w:cs="Times New Roman"/>
          <w:bCs/>
          <w:i/>
          <w:sz w:val="24"/>
          <w:szCs w:val="24"/>
          <w:lang w:val="en-US"/>
        </w:rPr>
        <w:t xml:space="preserve">In the context of rapid digitalization, global economic changes and new consumer trends, merchandising is becoming a key tool for companies' competitiveness in the field of trade. The COVID-19 pandemic, the sanctions restrictions of 2022-2023, as well as the growth of the share of online sales to 35% of the total retail volume (according to Data Insight) have radically changed approaches to product range management. The relevance of the topic is due to the need to adapt traditional merchandising methods to digital reality, where artificial intelligence, Big Data and immersive technologies set new standards for customer interaction. </w:t>
      </w:r>
      <w:r w:rsidRPr="00D52BCF">
        <w:rPr>
          <w:rFonts w:ascii="Times New Roman" w:hAnsi="Times New Roman" w:cs="Times New Roman"/>
          <w:bCs/>
          <w:i/>
          <w:sz w:val="24"/>
          <w:szCs w:val="24"/>
          <w:lang w:val="en-US"/>
        </w:rPr>
        <w:t>As a result, the topic is relevant.</w:t>
      </w:r>
    </w:p>
    <w:p w14:paraId="64B5943B" w14:textId="77777777" w:rsidR="00AE3A18" w:rsidRPr="00D52BCF" w:rsidRDefault="00AE3A18" w:rsidP="00F20A95">
      <w:pPr>
        <w:spacing w:after="0" w:line="240" w:lineRule="auto"/>
        <w:ind w:firstLine="709"/>
        <w:jc w:val="both"/>
        <w:rPr>
          <w:rFonts w:ascii="Times New Roman" w:hAnsi="Times New Roman" w:cs="Times New Roman"/>
          <w:bCs/>
          <w:i/>
          <w:sz w:val="24"/>
          <w:szCs w:val="24"/>
          <w:lang w:val="en-US"/>
        </w:rPr>
      </w:pPr>
    </w:p>
    <w:p w14:paraId="1DAB0ABB" w14:textId="0E2CC43F" w:rsidR="00AE3A18" w:rsidRPr="00AE3A18" w:rsidRDefault="00AE3A18" w:rsidP="00F20A95">
      <w:pPr>
        <w:spacing w:after="0" w:line="240" w:lineRule="auto"/>
        <w:ind w:firstLine="709"/>
        <w:jc w:val="both"/>
        <w:rPr>
          <w:rFonts w:ascii="Times New Roman" w:hAnsi="Times New Roman" w:cs="Times New Roman"/>
          <w:bCs/>
          <w:i/>
          <w:sz w:val="24"/>
          <w:szCs w:val="24"/>
          <w:lang w:val="en-US"/>
        </w:rPr>
      </w:pPr>
      <w:r w:rsidRPr="00AE3A18">
        <w:rPr>
          <w:rFonts w:ascii="Times New Roman" w:hAnsi="Times New Roman" w:cs="Times New Roman"/>
          <w:b/>
          <w:bCs/>
          <w:i/>
          <w:sz w:val="24"/>
          <w:szCs w:val="24"/>
          <w:lang w:val="en-US"/>
        </w:rPr>
        <w:t>Keywords and phrases</w:t>
      </w:r>
      <w:r w:rsidRPr="00AE3A18">
        <w:rPr>
          <w:rFonts w:ascii="Times New Roman" w:hAnsi="Times New Roman" w:cs="Times New Roman"/>
          <w:bCs/>
          <w:i/>
          <w:sz w:val="24"/>
          <w:szCs w:val="24"/>
          <w:lang w:val="en-US"/>
        </w:rPr>
        <w:t>: merchandising, logistics, digital technologies, retail, marketplaces.</w:t>
      </w:r>
    </w:p>
    <w:p w14:paraId="02E26AD1" w14:textId="77777777" w:rsidR="00D52BCF" w:rsidRPr="000064BD" w:rsidRDefault="00D52BCF" w:rsidP="00F20A95">
      <w:pPr>
        <w:spacing w:after="0" w:line="240" w:lineRule="auto"/>
        <w:ind w:firstLine="709"/>
        <w:jc w:val="both"/>
        <w:rPr>
          <w:rFonts w:ascii="Times New Roman" w:hAnsi="Times New Roman" w:cs="Times New Roman"/>
          <w:bCs/>
          <w:iCs/>
          <w:sz w:val="24"/>
          <w:szCs w:val="24"/>
          <w:lang w:val="en-US"/>
        </w:rPr>
      </w:pPr>
    </w:p>
    <w:p w14:paraId="021F0BC8" w14:textId="307FA73E" w:rsidR="00D52BCF" w:rsidRPr="006E77F1" w:rsidRDefault="00AD46AF" w:rsidP="006E77F1">
      <w:pPr>
        <w:spacing w:after="0" w:line="240" w:lineRule="auto"/>
        <w:ind w:firstLine="709"/>
        <w:jc w:val="both"/>
        <w:rPr>
          <w:rFonts w:ascii="Times New Roman" w:hAnsi="Times New Roman" w:cs="Times New Roman"/>
          <w:bCs/>
          <w:iCs/>
          <w:color w:val="000000" w:themeColor="text1"/>
          <w:sz w:val="28"/>
          <w:szCs w:val="24"/>
        </w:rPr>
      </w:pPr>
      <w:r>
        <w:rPr>
          <w:rFonts w:ascii="Times New Roman" w:hAnsi="Times New Roman" w:cs="Times New Roman"/>
          <w:bCs/>
          <w:iCs/>
          <w:sz w:val="24"/>
          <w:szCs w:val="24"/>
        </w:rPr>
        <w:t>Проблематика</w:t>
      </w:r>
      <w:r w:rsidR="001D53E7">
        <w:rPr>
          <w:rFonts w:ascii="Times New Roman" w:hAnsi="Times New Roman" w:cs="Times New Roman"/>
          <w:bCs/>
          <w:iCs/>
          <w:sz w:val="24"/>
          <w:szCs w:val="24"/>
        </w:rPr>
        <w:t xml:space="preserve">: </w:t>
      </w:r>
      <w:r w:rsidR="006E77F1">
        <w:rPr>
          <w:rFonts w:ascii="Times New Roman" w:hAnsi="Times New Roman" w:cs="Times New Roman"/>
          <w:color w:val="000000" w:themeColor="text1"/>
          <w:sz w:val="24"/>
          <w:shd w:val="clear" w:color="auto" w:fill="FFFFFF"/>
        </w:rPr>
        <w:t>в</w:t>
      </w:r>
      <w:r w:rsidR="006E77F1" w:rsidRPr="006E77F1">
        <w:rPr>
          <w:rFonts w:ascii="Times New Roman" w:hAnsi="Times New Roman" w:cs="Times New Roman"/>
          <w:color w:val="000000" w:themeColor="text1"/>
          <w:sz w:val="24"/>
          <w:shd w:val="clear" w:color="auto" w:fill="FFFFFF"/>
        </w:rPr>
        <w:t xml:space="preserve"> условиях стремительной цифровизации и роста доли онлайн-продаж традиционные методы мерчандайзинга сталкиваются с необходимостью адаптации к новым технологическим реалиям, таким как искусственный интеллект, Big Data и иммерсивные технологии, однако их внедрение затруднено из-за слабой ИТ-инфраструктуры, недостатка квалифицированных специалистов и низкой координации между участниками рынка. Кроме того, несмотря на существующую законодательную базу (№ 381-ФЗ, № 2300-1, ГОСТ Р 51303-2013 и др.), регулирующую ключевые аспекты мерчандайзинга, она требует актуализации для эффективного взаимодействия с цифровыми инструментами. Проблемы интеграции между маркетингом, логистикой и мерчандайзингом, включая несогласованность процессов управления запасами, неоптимальное использование POS-материалов и отсутствие системного подхода к обучению кадров, снижают общую эффективность мерчандайзинга как инструмента повышения конкурентоспособности в современном ритейле.</w:t>
      </w:r>
    </w:p>
    <w:p w14:paraId="3F42A5CC" w14:textId="4EAC2FE8" w:rsidR="005A136C" w:rsidRPr="00F20A95" w:rsidRDefault="005A136C" w:rsidP="001D53E7">
      <w:pPr>
        <w:spacing w:after="0" w:line="240" w:lineRule="auto"/>
        <w:ind w:firstLine="709"/>
        <w:jc w:val="both"/>
        <w:rPr>
          <w:rFonts w:ascii="Times New Roman" w:hAnsi="Times New Roman" w:cs="Times New Roman"/>
          <w:b/>
          <w:bCs/>
          <w:sz w:val="24"/>
          <w:szCs w:val="24"/>
          <w:u w:val="single"/>
        </w:rPr>
      </w:pPr>
      <w:r w:rsidRPr="007028AA">
        <w:rPr>
          <w:rFonts w:ascii="Times New Roman" w:hAnsi="Times New Roman" w:cs="Times New Roman"/>
          <w:bCs/>
          <w:iCs/>
          <w:sz w:val="24"/>
          <w:szCs w:val="24"/>
        </w:rPr>
        <w:t>Цель</w:t>
      </w:r>
      <w:r w:rsidRPr="007028AA">
        <w:rPr>
          <w:rFonts w:ascii="Times New Roman" w:hAnsi="Times New Roman" w:cs="Times New Roman"/>
          <w:sz w:val="24"/>
          <w:szCs w:val="24"/>
        </w:rPr>
        <w:t>:</w:t>
      </w:r>
      <w:r w:rsidRPr="00F20A95">
        <w:rPr>
          <w:rFonts w:ascii="Times New Roman" w:hAnsi="Times New Roman" w:cs="Times New Roman"/>
          <w:sz w:val="24"/>
          <w:szCs w:val="24"/>
        </w:rPr>
        <w:t xml:space="preserve"> </w:t>
      </w:r>
      <w:r w:rsidR="000064BD">
        <w:rPr>
          <w:rFonts w:ascii="Times New Roman" w:hAnsi="Times New Roman" w:cs="Times New Roman"/>
          <w:sz w:val="24"/>
          <w:szCs w:val="24"/>
        </w:rPr>
        <w:t>исследование значения мерчандайзинга в современном мире.</w:t>
      </w:r>
    </w:p>
    <w:p w14:paraId="62AACE3A" w14:textId="5572E91F" w:rsidR="005A136C" w:rsidRPr="000064BD" w:rsidRDefault="005A136C" w:rsidP="001D53E7">
      <w:pPr>
        <w:spacing w:after="0" w:line="240" w:lineRule="auto"/>
        <w:ind w:firstLine="709"/>
        <w:jc w:val="both"/>
        <w:rPr>
          <w:rFonts w:ascii="Times New Roman" w:hAnsi="Times New Roman" w:cs="Times New Roman"/>
          <w:bCs/>
          <w:iCs/>
          <w:sz w:val="24"/>
          <w:szCs w:val="24"/>
        </w:rPr>
      </w:pPr>
      <w:r w:rsidRPr="000064BD">
        <w:rPr>
          <w:rFonts w:ascii="Times New Roman" w:hAnsi="Times New Roman" w:cs="Times New Roman"/>
          <w:bCs/>
          <w:iCs/>
          <w:sz w:val="24"/>
          <w:szCs w:val="24"/>
        </w:rPr>
        <w:t>Задачи:</w:t>
      </w:r>
    </w:p>
    <w:p w14:paraId="0A3818AA" w14:textId="3A185859" w:rsidR="000064BD" w:rsidRPr="000064BD" w:rsidRDefault="000064BD" w:rsidP="001D53E7">
      <w:pPr>
        <w:pStyle w:val="a7"/>
        <w:numPr>
          <w:ilvl w:val="0"/>
          <w:numId w:val="16"/>
        </w:numPr>
        <w:spacing w:after="0" w:line="240" w:lineRule="auto"/>
        <w:ind w:left="0" w:firstLine="709"/>
        <w:jc w:val="both"/>
        <w:rPr>
          <w:rFonts w:ascii="Times New Roman" w:hAnsi="Times New Roman" w:cs="Times New Roman"/>
          <w:sz w:val="24"/>
          <w:szCs w:val="24"/>
        </w:rPr>
      </w:pPr>
      <w:r w:rsidRPr="000064BD">
        <w:rPr>
          <w:rFonts w:ascii="Times New Roman" w:hAnsi="Times New Roman" w:cs="Times New Roman"/>
          <w:sz w:val="24"/>
          <w:szCs w:val="24"/>
        </w:rPr>
        <w:t>Изучение законодательства на мерчендайзинг (на примере ГОСТов и законов РФ);</w:t>
      </w:r>
    </w:p>
    <w:p w14:paraId="2516DCD8" w14:textId="410C10B9" w:rsidR="000064BD" w:rsidRPr="000064BD" w:rsidRDefault="001D53E7" w:rsidP="001D53E7">
      <w:pPr>
        <w:pStyle w:val="a7"/>
        <w:numPr>
          <w:ilvl w:val="0"/>
          <w:numId w:val="16"/>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Изучение</w:t>
      </w:r>
      <w:r w:rsidR="000064BD" w:rsidRPr="000064BD">
        <w:rPr>
          <w:rFonts w:ascii="Times New Roman" w:hAnsi="Times New Roman" w:cs="Times New Roman"/>
          <w:sz w:val="24"/>
          <w:szCs w:val="24"/>
        </w:rPr>
        <w:t xml:space="preserve"> процесса интеграции маркетинга и логистики в мерчандайзинг;</w:t>
      </w:r>
    </w:p>
    <w:p w14:paraId="1CB2962E" w14:textId="662C1475" w:rsidR="000064BD" w:rsidRPr="000064BD" w:rsidRDefault="001D53E7" w:rsidP="001D53E7">
      <w:pPr>
        <w:pStyle w:val="a7"/>
        <w:numPr>
          <w:ilvl w:val="0"/>
          <w:numId w:val="16"/>
        </w:numPr>
        <w:spacing w:after="0" w:line="240" w:lineRule="auto"/>
        <w:ind w:left="0" w:firstLine="709"/>
        <w:jc w:val="both"/>
        <w:rPr>
          <w:rFonts w:ascii="Times New Roman" w:hAnsi="Times New Roman" w:cs="Times New Roman"/>
          <w:bCs/>
          <w:iCs/>
          <w:sz w:val="24"/>
          <w:szCs w:val="24"/>
        </w:rPr>
      </w:pPr>
      <w:r>
        <w:rPr>
          <w:rFonts w:ascii="Times New Roman" w:hAnsi="Times New Roman" w:cs="Times New Roman"/>
          <w:sz w:val="24"/>
          <w:szCs w:val="24"/>
        </w:rPr>
        <w:lastRenderedPageBreak/>
        <w:t xml:space="preserve">Изучение </w:t>
      </w:r>
      <w:r w:rsidR="000064BD" w:rsidRPr="000064BD">
        <w:rPr>
          <w:rFonts w:ascii="Times New Roman" w:hAnsi="Times New Roman" w:cs="Times New Roman"/>
          <w:sz w:val="24"/>
          <w:szCs w:val="24"/>
        </w:rPr>
        <w:t xml:space="preserve">инструментов цифрового мерчандайзинга </w:t>
      </w:r>
      <w:r w:rsidR="004A1146">
        <w:rPr>
          <w:rFonts w:ascii="Times New Roman" w:hAnsi="Times New Roman" w:cs="Times New Roman"/>
          <w:sz w:val="24"/>
          <w:szCs w:val="24"/>
        </w:rPr>
        <w:t xml:space="preserve">и его значение при взаимодействии с потребителем. </w:t>
      </w:r>
    </w:p>
    <w:p w14:paraId="6B9FED36" w14:textId="231AA177" w:rsidR="000064BD" w:rsidRPr="000064BD" w:rsidRDefault="000064BD" w:rsidP="001D53E7">
      <w:pPr>
        <w:spacing w:after="0" w:line="240" w:lineRule="auto"/>
        <w:ind w:firstLine="709"/>
        <w:jc w:val="both"/>
        <w:rPr>
          <w:rFonts w:ascii="Times New Roman" w:hAnsi="Times New Roman" w:cs="Times New Roman"/>
          <w:sz w:val="24"/>
          <w:szCs w:val="24"/>
        </w:rPr>
      </w:pPr>
      <w:r w:rsidRPr="000064BD">
        <w:rPr>
          <w:rFonts w:ascii="Times New Roman" w:hAnsi="Times New Roman" w:cs="Times New Roman"/>
          <w:sz w:val="24"/>
          <w:szCs w:val="24"/>
        </w:rPr>
        <w:t>На первом этапе исследования было проанализировано законодательство РФ в сфере торговли и выявлено, чт</w:t>
      </w:r>
      <w:r w:rsidR="006E77F1">
        <w:rPr>
          <w:rFonts w:ascii="Times New Roman" w:hAnsi="Times New Roman" w:cs="Times New Roman"/>
          <w:sz w:val="24"/>
          <w:szCs w:val="24"/>
        </w:rPr>
        <w:t>о для обеспечения качества мерча</w:t>
      </w:r>
      <w:r w:rsidRPr="000064BD">
        <w:rPr>
          <w:rFonts w:ascii="Times New Roman" w:hAnsi="Times New Roman" w:cs="Times New Roman"/>
          <w:sz w:val="24"/>
          <w:szCs w:val="24"/>
        </w:rPr>
        <w:t>ндайзинга в России действует ряд законов и ГОСТов, регулирующих отдельные элементы. В таблице ниже представлены ключевые аспекты:</w:t>
      </w:r>
    </w:p>
    <w:p w14:paraId="602211C5" w14:textId="552F4444" w:rsidR="002C5D3A" w:rsidRPr="00F20A95" w:rsidRDefault="002C5D3A" w:rsidP="007028AA">
      <w:pPr>
        <w:spacing w:after="0" w:line="240" w:lineRule="auto"/>
        <w:ind w:left="1134" w:right="1134" w:firstLine="709"/>
        <w:jc w:val="both"/>
        <w:rPr>
          <w:rFonts w:ascii="Times New Roman" w:hAnsi="Times New Roman" w:cs="Times New Roman"/>
          <w:sz w:val="24"/>
          <w:szCs w:val="24"/>
        </w:rPr>
      </w:pPr>
      <w:r w:rsidRPr="007028AA">
        <w:rPr>
          <w:rFonts w:ascii="Times New Roman" w:hAnsi="Times New Roman" w:cs="Times New Roman"/>
          <w:sz w:val="24"/>
          <w:szCs w:val="24"/>
        </w:rPr>
        <w:t>Таблица 1</w:t>
      </w:r>
      <w:r w:rsidR="007028AA">
        <w:rPr>
          <w:rFonts w:ascii="Times New Roman" w:hAnsi="Times New Roman" w:cs="Times New Roman"/>
          <w:sz w:val="24"/>
          <w:szCs w:val="24"/>
        </w:rPr>
        <w:t xml:space="preserve"> </w:t>
      </w:r>
      <w:r w:rsidR="006E77F1">
        <w:rPr>
          <w:rFonts w:ascii="Times New Roman" w:hAnsi="Times New Roman" w:cs="Times New Roman"/>
          <w:sz w:val="24"/>
          <w:szCs w:val="24"/>
        </w:rPr>
        <w:t>–</w:t>
      </w:r>
      <w:r w:rsidRPr="00F20A95">
        <w:rPr>
          <w:rFonts w:ascii="Times New Roman" w:hAnsi="Times New Roman" w:cs="Times New Roman"/>
          <w:sz w:val="24"/>
          <w:szCs w:val="24"/>
        </w:rPr>
        <w:t xml:space="preserve"> </w:t>
      </w:r>
      <w:r w:rsidR="006E77F1">
        <w:rPr>
          <w:rFonts w:ascii="Times New Roman" w:hAnsi="Times New Roman" w:cs="Times New Roman"/>
          <w:i/>
          <w:sz w:val="24"/>
          <w:szCs w:val="24"/>
        </w:rPr>
        <w:t>основные законодательные документы, регулирующие мерчендайзинг.</w:t>
      </w:r>
    </w:p>
    <w:tbl>
      <w:tblPr>
        <w:tblStyle w:val="ac"/>
        <w:tblW w:w="0" w:type="auto"/>
        <w:tblInd w:w="-5" w:type="dxa"/>
        <w:tblLook w:val="04A0" w:firstRow="1" w:lastRow="0" w:firstColumn="1" w:lastColumn="0" w:noHBand="0" w:noVBand="1"/>
      </w:tblPr>
      <w:tblGrid>
        <w:gridCol w:w="2336"/>
        <w:gridCol w:w="2336"/>
        <w:gridCol w:w="2336"/>
        <w:gridCol w:w="2337"/>
      </w:tblGrid>
      <w:tr w:rsidR="007028AA" w:rsidRPr="00066A99" w14:paraId="5D75410E" w14:textId="77777777" w:rsidTr="007028AA">
        <w:tc>
          <w:tcPr>
            <w:tcW w:w="2336" w:type="dxa"/>
          </w:tcPr>
          <w:p w14:paraId="4DC32398" w14:textId="77777777" w:rsidR="007028AA" w:rsidRPr="007028AA" w:rsidRDefault="007028AA" w:rsidP="007028AA">
            <w:pPr>
              <w:jc w:val="center"/>
              <w:rPr>
                <w:rFonts w:ascii="Times New Roman" w:hAnsi="Times New Roman" w:cs="Times New Roman"/>
                <w:bCs/>
                <w:sz w:val="20"/>
                <w:szCs w:val="20"/>
              </w:rPr>
            </w:pPr>
            <w:r w:rsidRPr="007028AA">
              <w:rPr>
                <w:rFonts w:ascii="Times New Roman" w:hAnsi="Times New Roman" w:cs="Times New Roman"/>
                <w:bCs/>
                <w:sz w:val="20"/>
                <w:szCs w:val="20"/>
              </w:rPr>
              <w:t>Элементы мерчендайзинга</w:t>
            </w:r>
          </w:p>
        </w:tc>
        <w:tc>
          <w:tcPr>
            <w:tcW w:w="2336" w:type="dxa"/>
          </w:tcPr>
          <w:p w14:paraId="52395FD9" w14:textId="163BE11B" w:rsidR="007028AA" w:rsidRPr="007028AA" w:rsidRDefault="000064BD" w:rsidP="007028AA">
            <w:pPr>
              <w:jc w:val="center"/>
              <w:rPr>
                <w:rFonts w:ascii="Times New Roman" w:hAnsi="Times New Roman" w:cs="Times New Roman"/>
                <w:bCs/>
                <w:sz w:val="20"/>
                <w:szCs w:val="20"/>
              </w:rPr>
            </w:pPr>
            <w:r>
              <w:rPr>
                <w:rFonts w:ascii="Times New Roman" w:hAnsi="Times New Roman" w:cs="Times New Roman"/>
                <w:bCs/>
                <w:sz w:val="20"/>
                <w:szCs w:val="20"/>
              </w:rPr>
              <w:t>Законодательные документы</w:t>
            </w:r>
          </w:p>
        </w:tc>
        <w:tc>
          <w:tcPr>
            <w:tcW w:w="2336" w:type="dxa"/>
          </w:tcPr>
          <w:p w14:paraId="7E1EFBAB" w14:textId="77067E69" w:rsidR="007028AA" w:rsidRPr="007028AA" w:rsidRDefault="000064BD" w:rsidP="007028AA">
            <w:pPr>
              <w:jc w:val="center"/>
              <w:rPr>
                <w:rFonts w:ascii="Times New Roman" w:hAnsi="Times New Roman" w:cs="Times New Roman"/>
                <w:bCs/>
                <w:sz w:val="20"/>
                <w:szCs w:val="20"/>
              </w:rPr>
            </w:pPr>
            <w:r>
              <w:rPr>
                <w:rFonts w:ascii="Times New Roman" w:hAnsi="Times New Roman" w:cs="Times New Roman"/>
                <w:bCs/>
                <w:sz w:val="20"/>
                <w:szCs w:val="20"/>
              </w:rPr>
              <w:t xml:space="preserve">Нормативные документы </w:t>
            </w:r>
          </w:p>
        </w:tc>
        <w:tc>
          <w:tcPr>
            <w:tcW w:w="2337" w:type="dxa"/>
          </w:tcPr>
          <w:p w14:paraId="05A9C849" w14:textId="77777777" w:rsidR="007028AA" w:rsidRPr="007028AA" w:rsidRDefault="007028AA" w:rsidP="007028AA">
            <w:pPr>
              <w:jc w:val="center"/>
              <w:rPr>
                <w:rFonts w:ascii="Times New Roman" w:hAnsi="Times New Roman" w:cs="Times New Roman"/>
                <w:bCs/>
                <w:sz w:val="20"/>
                <w:szCs w:val="20"/>
              </w:rPr>
            </w:pPr>
            <w:r w:rsidRPr="007028AA">
              <w:rPr>
                <w:rFonts w:ascii="Times New Roman" w:hAnsi="Times New Roman" w:cs="Times New Roman"/>
                <w:bCs/>
                <w:sz w:val="20"/>
                <w:szCs w:val="20"/>
              </w:rPr>
              <w:t xml:space="preserve">Требования </w:t>
            </w:r>
          </w:p>
        </w:tc>
      </w:tr>
      <w:tr w:rsidR="007028AA" w:rsidRPr="00066A99" w14:paraId="1108D5A2" w14:textId="77777777" w:rsidTr="007028AA">
        <w:tc>
          <w:tcPr>
            <w:tcW w:w="2336" w:type="dxa"/>
          </w:tcPr>
          <w:p w14:paraId="764D9A30" w14:textId="77777777" w:rsidR="007028AA" w:rsidRPr="007028AA" w:rsidRDefault="007028AA" w:rsidP="007028AA">
            <w:pPr>
              <w:jc w:val="center"/>
              <w:rPr>
                <w:rFonts w:ascii="Times New Roman" w:hAnsi="Times New Roman" w:cs="Times New Roman"/>
                <w:bCs/>
                <w:iCs/>
                <w:sz w:val="20"/>
                <w:szCs w:val="20"/>
              </w:rPr>
            </w:pPr>
            <w:r w:rsidRPr="007028AA">
              <w:rPr>
                <w:rFonts w:ascii="Times New Roman" w:hAnsi="Times New Roman" w:cs="Times New Roman"/>
                <w:bCs/>
                <w:iCs/>
                <w:sz w:val="20"/>
                <w:szCs w:val="20"/>
              </w:rPr>
              <w:t>Выкладка товаров</w:t>
            </w:r>
          </w:p>
        </w:tc>
        <w:tc>
          <w:tcPr>
            <w:tcW w:w="2336" w:type="dxa"/>
          </w:tcPr>
          <w:p w14:paraId="1A21170E"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Закон РФ № 381-ФЗ «Об основах государственного регулирования торговой деятельности» (ст. 8)</w:t>
            </w:r>
          </w:p>
        </w:tc>
        <w:tc>
          <w:tcPr>
            <w:tcW w:w="2336" w:type="dxa"/>
          </w:tcPr>
          <w:p w14:paraId="027E320E"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ГОСТ Р 51303-2013 «Торговля. Термины и определения»</w:t>
            </w:r>
          </w:p>
        </w:tc>
        <w:tc>
          <w:tcPr>
            <w:tcW w:w="2337" w:type="dxa"/>
          </w:tcPr>
          <w:p w14:paraId="3E52FEE1"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Соблюдение правил размещения товаров, запрет создания искусственного дефицита.</w:t>
            </w:r>
          </w:p>
        </w:tc>
      </w:tr>
      <w:tr w:rsidR="007028AA" w:rsidRPr="00066A99" w14:paraId="53F3B3BC" w14:textId="77777777" w:rsidTr="007028AA">
        <w:tc>
          <w:tcPr>
            <w:tcW w:w="2336" w:type="dxa"/>
          </w:tcPr>
          <w:p w14:paraId="1AF874CE" w14:textId="77777777" w:rsidR="007028AA" w:rsidRPr="007028AA" w:rsidRDefault="007028AA" w:rsidP="007028AA">
            <w:pPr>
              <w:jc w:val="center"/>
              <w:rPr>
                <w:rFonts w:ascii="Times New Roman" w:hAnsi="Times New Roman" w:cs="Times New Roman"/>
                <w:bCs/>
                <w:iCs/>
                <w:sz w:val="20"/>
                <w:szCs w:val="20"/>
              </w:rPr>
            </w:pPr>
            <w:r w:rsidRPr="007028AA">
              <w:rPr>
                <w:rFonts w:ascii="Times New Roman" w:hAnsi="Times New Roman" w:cs="Times New Roman"/>
                <w:bCs/>
                <w:iCs/>
                <w:sz w:val="20"/>
                <w:szCs w:val="20"/>
              </w:rPr>
              <w:t>Информирование потребителей</w:t>
            </w:r>
          </w:p>
        </w:tc>
        <w:tc>
          <w:tcPr>
            <w:tcW w:w="2336" w:type="dxa"/>
          </w:tcPr>
          <w:p w14:paraId="48A5CB37"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Закон РФ № 2300-1 «О защите прав потребителей» (ст. 10)</w:t>
            </w:r>
          </w:p>
        </w:tc>
        <w:tc>
          <w:tcPr>
            <w:tcW w:w="2336" w:type="dxa"/>
          </w:tcPr>
          <w:p w14:paraId="1B71E8A8"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ГОСТ Р 51074-2003 «Продукты пищевые. Информация для потребителя»</w:t>
            </w:r>
          </w:p>
        </w:tc>
        <w:tc>
          <w:tcPr>
            <w:tcW w:w="2337" w:type="dxa"/>
          </w:tcPr>
          <w:p w14:paraId="7BF7292E"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Обязательное указание цены, состава, срока годности.</w:t>
            </w:r>
          </w:p>
        </w:tc>
      </w:tr>
      <w:tr w:rsidR="007028AA" w:rsidRPr="00066A99" w14:paraId="15C815A6" w14:textId="77777777" w:rsidTr="007028AA">
        <w:tc>
          <w:tcPr>
            <w:tcW w:w="2336" w:type="dxa"/>
          </w:tcPr>
          <w:p w14:paraId="47430E09" w14:textId="77777777" w:rsidR="007028AA" w:rsidRPr="007028AA" w:rsidRDefault="007028AA" w:rsidP="007028AA">
            <w:pPr>
              <w:jc w:val="center"/>
              <w:rPr>
                <w:rFonts w:ascii="Times New Roman" w:hAnsi="Times New Roman" w:cs="Times New Roman"/>
                <w:bCs/>
                <w:iCs/>
                <w:sz w:val="20"/>
                <w:szCs w:val="20"/>
              </w:rPr>
            </w:pPr>
            <w:r w:rsidRPr="007028AA">
              <w:rPr>
                <w:rFonts w:ascii="Times New Roman" w:hAnsi="Times New Roman" w:cs="Times New Roman"/>
                <w:bCs/>
                <w:iCs/>
                <w:sz w:val="20"/>
                <w:szCs w:val="20"/>
              </w:rPr>
              <w:t>Использование POS-материалов</w:t>
            </w:r>
          </w:p>
        </w:tc>
        <w:tc>
          <w:tcPr>
            <w:tcW w:w="2336" w:type="dxa"/>
          </w:tcPr>
          <w:p w14:paraId="727E47D5"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Закон РФ № 38-ФЗ «О рекламе» (ст. 5)</w:t>
            </w:r>
          </w:p>
        </w:tc>
        <w:tc>
          <w:tcPr>
            <w:tcW w:w="2336" w:type="dxa"/>
          </w:tcPr>
          <w:p w14:paraId="7196AB0A"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ГОСТ Р 52044-2003 «Наружная реклама»</w:t>
            </w:r>
          </w:p>
        </w:tc>
        <w:tc>
          <w:tcPr>
            <w:tcW w:w="2337" w:type="dxa"/>
          </w:tcPr>
          <w:p w14:paraId="3C2C97CB"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Запрет скрытой рекламы, ограничение размещения алкоголя и табака.</w:t>
            </w:r>
          </w:p>
        </w:tc>
      </w:tr>
      <w:tr w:rsidR="007028AA" w:rsidRPr="00066A99" w14:paraId="71321F87" w14:textId="77777777" w:rsidTr="007028AA">
        <w:tc>
          <w:tcPr>
            <w:tcW w:w="2336" w:type="dxa"/>
          </w:tcPr>
          <w:p w14:paraId="37F33F0C" w14:textId="77777777" w:rsidR="007028AA" w:rsidRPr="007028AA" w:rsidRDefault="007028AA" w:rsidP="007028AA">
            <w:pPr>
              <w:jc w:val="center"/>
              <w:rPr>
                <w:rFonts w:ascii="Times New Roman" w:hAnsi="Times New Roman" w:cs="Times New Roman"/>
                <w:bCs/>
                <w:iCs/>
                <w:sz w:val="20"/>
                <w:szCs w:val="20"/>
              </w:rPr>
            </w:pPr>
            <w:r w:rsidRPr="007028AA">
              <w:rPr>
                <w:rFonts w:ascii="Times New Roman" w:hAnsi="Times New Roman" w:cs="Times New Roman"/>
                <w:bCs/>
                <w:iCs/>
                <w:sz w:val="20"/>
                <w:szCs w:val="20"/>
              </w:rPr>
              <w:t>Безопасность продукции</w:t>
            </w:r>
          </w:p>
        </w:tc>
        <w:tc>
          <w:tcPr>
            <w:tcW w:w="2336" w:type="dxa"/>
          </w:tcPr>
          <w:p w14:paraId="09C67C9D"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Закон РФ № 184-ФЗ «О техническом регулировании»</w:t>
            </w:r>
          </w:p>
        </w:tc>
        <w:tc>
          <w:tcPr>
            <w:tcW w:w="2336" w:type="dxa"/>
          </w:tcPr>
          <w:p w14:paraId="1EA750EE"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ГОСТ Р ИСО 9001-2015 «Системы менеджмента качества»</w:t>
            </w:r>
          </w:p>
        </w:tc>
        <w:tc>
          <w:tcPr>
            <w:tcW w:w="2337" w:type="dxa"/>
          </w:tcPr>
          <w:p w14:paraId="13D86F4A"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Соответствие товаров стандартам, правильная маркировка.</w:t>
            </w:r>
          </w:p>
        </w:tc>
      </w:tr>
      <w:tr w:rsidR="007028AA" w:rsidRPr="00066A99" w14:paraId="7DBA97AA" w14:textId="77777777" w:rsidTr="007028AA">
        <w:tc>
          <w:tcPr>
            <w:tcW w:w="2336" w:type="dxa"/>
          </w:tcPr>
          <w:p w14:paraId="2AF08058" w14:textId="77777777" w:rsidR="007028AA" w:rsidRPr="007028AA" w:rsidRDefault="007028AA" w:rsidP="007028AA">
            <w:pPr>
              <w:jc w:val="center"/>
              <w:rPr>
                <w:rFonts w:ascii="Times New Roman" w:hAnsi="Times New Roman" w:cs="Times New Roman"/>
                <w:bCs/>
                <w:iCs/>
                <w:sz w:val="20"/>
                <w:szCs w:val="20"/>
              </w:rPr>
            </w:pPr>
            <w:r w:rsidRPr="007028AA">
              <w:rPr>
                <w:rFonts w:ascii="Times New Roman" w:hAnsi="Times New Roman" w:cs="Times New Roman"/>
                <w:bCs/>
                <w:iCs/>
                <w:sz w:val="20"/>
                <w:szCs w:val="20"/>
              </w:rPr>
              <w:t>Защита детей от информации</w:t>
            </w:r>
          </w:p>
        </w:tc>
        <w:tc>
          <w:tcPr>
            <w:tcW w:w="2336" w:type="dxa"/>
          </w:tcPr>
          <w:p w14:paraId="67788503"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Закон РФ № 436-ФЗ «О защите детей от информации»</w:t>
            </w:r>
          </w:p>
        </w:tc>
        <w:tc>
          <w:tcPr>
            <w:tcW w:w="2336" w:type="dxa"/>
          </w:tcPr>
          <w:p w14:paraId="1593A427"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ГОСТ Р 52872-2019 «Интернет-ресурсы. Требования к защите детей»</w:t>
            </w:r>
          </w:p>
        </w:tc>
        <w:tc>
          <w:tcPr>
            <w:tcW w:w="2337" w:type="dxa"/>
          </w:tcPr>
          <w:p w14:paraId="5C0D1A66" w14:textId="77777777" w:rsidR="007028AA" w:rsidRPr="007028AA" w:rsidRDefault="007028AA" w:rsidP="007028AA">
            <w:pPr>
              <w:jc w:val="both"/>
              <w:rPr>
                <w:rFonts w:ascii="Times New Roman" w:hAnsi="Times New Roman" w:cs="Times New Roman"/>
                <w:sz w:val="20"/>
                <w:szCs w:val="20"/>
              </w:rPr>
            </w:pPr>
            <w:r w:rsidRPr="007028AA">
              <w:rPr>
                <w:rFonts w:ascii="Times New Roman" w:hAnsi="Times New Roman" w:cs="Times New Roman"/>
                <w:sz w:val="20"/>
                <w:szCs w:val="20"/>
              </w:rPr>
              <w:t>Ограничение рекламы с возрастными маркерами.</w:t>
            </w:r>
          </w:p>
        </w:tc>
      </w:tr>
    </w:tbl>
    <w:p w14:paraId="5B7BD292" w14:textId="2122EBA5" w:rsidR="000064BD" w:rsidRPr="000064BD" w:rsidRDefault="000064BD" w:rsidP="001D53E7">
      <w:pPr>
        <w:spacing w:after="0" w:line="240" w:lineRule="auto"/>
        <w:ind w:firstLine="709"/>
        <w:jc w:val="both"/>
        <w:rPr>
          <w:rFonts w:ascii="Times New Roman" w:hAnsi="Times New Roman" w:cs="Times New Roman"/>
          <w:sz w:val="24"/>
        </w:rPr>
      </w:pPr>
      <w:r w:rsidRPr="000064BD">
        <w:rPr>
          <w:rFonts w:ascii="Times New Roman" w:hAnsi="Times New Roman" w:cs="Times New Roman"/>
          <w:sz w:val="24"/>
        </w:rPr>
        <w:t>Исходя из информации, представленной в таблице, были сделаны следующие выводы:</w:t>
      </w:r>
      <w:r>
        <w:rPr>
          <w:rFonts w:ascii="Times New Roman" w:hAnsi="Times New Roman" w:cs="Times New Roman"/>
          <w:sz w:val="24"/>
        </w:rPr>
        <w:t xml:space="preserve"> </w:t>
      </w:r>
      <w:r w:rsidRPr="000064BD">
        <w:rPr>
          <w:rFonts w:ascii="Times New Roman" w:hAnsi="Times New Roman" w:cs="Times New Roman"/>
          <w:sz w:val="24"/>
        </w:rPr>
        <w:t>Законодательная база РФ охватывает основные аспекты мерчендайзинга, включая выкладку товаров, информирование потребителей и безопасность продукции. ГОСТы дополняют правовые нормы, обеспечивая стандартизацию процессов. Однако слабая координация между участниками рынка и недостаток ИТ-инфраструктуры затрудняют внедрение инноваций.</w:t>
      </w:r>
    </w:p>
    <w:p w14:paraId="785D4678" w14:textId="3C2FD388" w:rsidR="006C7AF1" w:rsidRPr="00F20A95" w:rsidRDefault="000064BD" w:rsidP="001D53E7">
      <w:pPr>
        <w:spacing w:after="0" w:line="240" w:lineRule="auto"/>
        <w:ind w:firstLine="709"/>
        <w:jc w:val="both"/>
        <w:rPr>
          <w:rFonts w:ascii="Times New Roman" w:hAnsi="Times New Roman" w:cs="Times New Roman"/>
          <w:sz w:val="24"/>
          <w:szCs w:val="24"/>
        </w:rPr>
      </w:pPr>
      <w:r w:rsidRPr="000064BD">
        <w:rPr>
          <w:rFonts w:ascii="Times New Roman" w:hAnsi="Times New Roman" w:cs="Times New Roman"/>
          <w:sz w:val="24"/>
        </w:rPr>
        <w:t xml:space="preserve">На втором этапе исследования был проанализирован </w:t>
      </w:r>
      <w:r>
        <w:rPr>
          <w:rFonts w:ascii="Times New Roman" w:hAnsi="Times New Roman" w:cs="Times New Roman"/>
          <w:sz w:val="24"/>
        </w:rPr>
        <w:t>процесс интеграции мерча</w:t>
      </w:r>
      <w:r w:rsidRPr="000064BD">
        <w:rPr>
          <w:rFonts w:ascii="Times New Roman" w:hAnsi="Times New Roman" w:cs="Times New Roman"/>
          <w:sz w:val="24"/>
        </w:rPr>
        <w:t xml:space="preserve">ндайзинга в маркетинг и логистику и выявлено, что </w:t>
      </w:r>
      <w:r>
        <w:rPr>
          <w:rFonts w:ascii="Times New Roman" w:hAnsi="Times New Roman" w:cs="Times New Roman"/>
          <w:sz w:val="24"/>
          <w:szCs w:val="24"/>
        </w:rPr>
        <w:t>м</w:t>
      </w:r>
      <w:r w:rsidR="006C7AF1" w:rsidRPr="00F20A95">
        <w:rPr>
          <w:rFonts w:ascii="Times New Roman" w:hAnsi="Times New Roman" w:cs="Times New Roman"/>
          <w:sz w:val="24"/>
          <w:szCs w:val="24"/>
        </w:rPr>
        <w:t xml:space="preserve">ерчандайзинг, будучи неотъемлемой частью маркетинговых стратегий, направлен на оптимизацию взаимодействия товара с потребителем в точках продаж. Согласно определению Французской академии коммерческих наук, это «часть маркетинга, охватывающая методы представления товара в наилучших условиях для конечного покупателя» [1]. Основная задача мерчандайзинга — стимулировать импульсные покупки, формируя лояльность к бренду и увеличивая объем продаж.  </w:t>
      </w:r>
    </w:p>
    <w:p w14:paraId="2D656FB8" w14:textId="77777777"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Ключевые аспекты мерчандайзинга в маркетинге включают:  </w:t>
      </w:r>
    </w:p>
    <w:p w14:paraId="277B9EB7" w14:textId="3FF0EF13"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1. Визуальное воздействие: 80–86% информации потребители воспринимают через зрение [</w:t>
      </w:r>
      <w:r w:rsidR="002C5D3A" w:rsidRPr="00F20A95">
        <w:rPr>
          <w:rFonts w:ascii="Times New Roman" w:hAnsi="Times New Roman" w:cs="Times New Roman"/>
          <w:sz w:val="24"/>
          <w:szCs w:val="24"/>
        </w:rPr>
        <w:t>2</w:t>
      </w:r>
      <w:r w:rsidRPr="00F20A95">
        <w:rPr>
          <w:rFonts w:ascii="Times New Roman" w:hAnsi="Times New Roman" w:cs="Times New Roman"/>
          <w:sz w:val="24"/>
          <w:szCs w:val="24"/>
        </w:rPr>
        <w:t>]. Использование POS-материалов (плакаты, воблеры, шелфтокеры) и грамотной выкладки товаров позволяет привлечь внимание, пробудить интерес и направить действие покупател</w:t>
      </w:r>
      <w:r w:rsidR="002C5D3A" w:rsidRPr="00F20A95">
        <w:rPr>
          <w:rFonts w:ascii="Times New Roman" w:hAnsi="Times New Roman" w:cs="Times New Roman"/>
          <w:sz w:val="24"/>
          <w:szCs w:val="24"/>
        </w:rPr>
        <w:t>я</w:t>
      </w:r>
      <w:r w:rsidRPr="00F20A95">
        <w:rPr>
          <w:rFonts w:ascii="Times New Roman" w:hAnsi="Times New Roman" w:cs="Times New Roman"/>
          <w:sz w:val="24"/>
          <w:szCs w:val="24"/>
        </w:rPr>
        <w:t>. Например, концепция FMOT (First Moment of Truth) компании P&amp;G акцентирует, что решение о покупке принимается за 3–7 секунд, что требует безупречного визуального оформления [</w:t>
      </w:r>
      <w:r w:rsidR="002C5D3A" w:rsidRPr="00F20A95">
        <w:rPr>
          <w:rFonts w:ascii="Times New Roman" w:hAnsi="Times New Roman" w:cs="Times New Roman"/>
          <w:sz w:val="24"/>
          <w:szCs w:val="24"/>
        </w:rPr>
        <w:t>3</w:t>
      </w:r>
      <w:r w:rsidRPr="00F20A95">
        <w:rPr>
          <w:rFonts w:ascii="Times New Roman" w:hAnsi="Times New Roman" w:cs="Times New Roman"/>
          <w:sz w:val="24"/>
          <w:szCs w:val="24"/>
        </w:rPr>
        <w:t xml:space="preserve">].  </w:t>
      </w:r>
    </w:p>
    <w:p w14:paraId="4C84A726" w14:textId="5D80132B"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2. Категорийный мерчандайзинг: взаимодействие между производителем, дистрибьютором и ритейлером. Согласованные стандарты выкладки, как в случае с FMCG-товарами, обеспечивают конкурентоспособность и управление ассортиментом [2].  </w:t>
      </w:r>
    </w:p>
    <w:p w14:paraId="4F6BD8CD" w14:textId="7445BA1D"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3. Психологическое влияние: мерчандайзинг манипулирует поведением потребителей через расположение товаров (например, товары импульсного спроса у касс) и использование эстетических элементов (освещение, музыка) [3].  </w:t>
      </w:r>
    </w:p>
    <w:p w14:paraId="13DFEF2F" w14:textId="1F7E8142"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lastRenderedPageBreak/>
        <w:t xml:space="preserve">Примером успешного применения служит опыт Benetton в московском ГУМе, где оформление витрин повысило продажи на 30% [2]. Однако в России сохраняются проблемы: недостаток квалифицированных кадров и слабая систематизация процессов [4].  </w:t>
      </w:r>
    </w:p>
    <w:p w14:paraId="22D27157" w14:textId="77777777"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Мерчандайзинг в логистике фокусируется на интеграции маркетинговых целей с управлением цепочками поставок. Его ключевые элементы:  </w:t>
      </w:r>
    </w:p>
    <w:p w14:paraId="7E52D637" w14:textId="3201D1A3"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1. Управление запасами: Оптимизация наличия товаров в розничных точках предотвращает дефицит и избыток. Например, расчет «объема на кубический метр» помогает эффективно использовать пространство магазинов [3].  </w:t>
      </w:r>
    </w:p>
    <w:p w14:paraId="4AF1045A" w14:textId="0AD431A9"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2. Синхронизация поставок: Взаимодействие производителей, дистрибьюторов и ритейлеров обеспечивает своевременное пополнение полок. Категорийный мерчандайзинг, как отмечает Барковская [2], требует четких договоренностей о выкладке, что невозможно без слаженной логистики.  </w:t>
      </w:r>
    </w:p>
    <w:p w14:paraId="1B40BAA7" w14:textId="77777777"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3. Технологические решения: Внедрение RFID-меток и систем анализа данных (например, SAP) позволяет прогнозировать спрос и минимизировать логистические издержки.  </w:t>
      </w:r>
    </w:p>
    <w:p w14:paraId="082206A0" w14:textId="5D298451"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4. Пространственная эффективность: Планировка складов и торговых залов влияет на скорость доступа к товарам. Например, «фальш-палеты» имитируют выкладку на поддонах, упрощая транспортировку и презентацию.  </w:t>
      </w:r>
    </w:p>
    <w:p w14:paraId="1C64CD4B" w14:textId="191551A2" w:rsidR="006C7AF1" w:rsidRPr="00AE3A18" w:rsidRDefault="006C7AF1" w:rsidP="001D53E7">
      <w:pPr>
        <w:spacing w:after="0" w:line="240" w:lineRule="auto"/>
        <w:ind w:firstLine="709"/>
        <w:jc w:val="both"/>
        <w:rPr>
          <w:rFonts w:ascii="Times New Roman" w:hAnsi="Times New Roman" w:cs="Times New Roman"/>
          <w:bCs/>
          <w:iCs/>
          <w:sz w:val="24"/>
          <w:szCs w:val="24"/>
        </w:rPr>
      </w:pPr>
      <w:r w:rsidRPr="00AE3A18">
        <w:rPr>
          <w:rFonts w:ascii="Times New Roman" w:hAnsi="Times New Roman" w:cs="Times New Roman"/>
          <w:bCs/>
          <w:iCs/>
          <w:sz w:val="24"/>
          <w:szCs w:val="24"/>
        </w:rPr>
        <w:t xml:space="preserve">Собственные наблюдения: </w:t>
      </w:r>
    </w:p>
    <w:p w14:paraId="2A82A9AC" w14:textId="2E8372D4"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Логистический мерчандайзинг часто остается в тени маркетинговых аспектов, но его роль критична. Например, в сетях «Пятерочка» и «Перекресток» мерчандайзеры отвечают не только за выкладку, но и за мониторинг остатков, что требует интеграции с ERP-системами [4]. Однако в России слабая координация между отделами и недостаток ИТ-инфраструктуры ограничивают эффективность.  </w:t>
      </w:r>
    </w:p>
    <w:p w14:paraId="2145DDF3" w14:textId="77777777" w:rsidR="006C7AF1" w:rsidRPr="00F20A95" w:rsidRDefault="006C7AF1"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Мерчандайзинг, объединяя маркетинг и логистику, становится ключевым драйвером продаж. В маркетинге он воздействует на восприятие потребителя, а в логистике — обеспечивает доступность товара. Для успеха необходимы:  </w:t>
      </w:r>
    </w:p>
    <w:p w14:paraId="10606F73" w14:textId="54E16D8C" w:rsidR="006C7AF1" w:rsidRPr="00F20A95" w:rsidRDefault="006C7AF1" w:rsidP="001D53E7">
      <w:pPr>
        <w:pStyle w:val="a7"/>
        <w:numPr>
          <w:ilvl w:val="0"/>
          <w:numId w:val="4"/>
        </w:numPr>
        <w:spacing w:after="0" w:line="240" w:lineRule="auto"/>
        <w:ind w:left="0"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Системный подход к обучению специалистов.  </w:t>
      </w:r>
    </w:p>
    <w:p w14:paraId="5EA03CC8" w14:textId="61F6B6F9" w:rsidR="006C7AF1" w:rsidRPr="00F20A95" w:rsidRDefault="006C7AF1" w:rsidP="001D53E7">
      <w:pPr>
        <w:pStyle w:val="a7"/>
        <w:numPr>
          <w:ilvl w:val="0"/>
          <w:numId w:val="4"/>
        </w:numPr>
        <w:spacing w:after="0" w:line="240" w:lineRule="auto"/>
        <w:ind w:left="0"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Внедрение технологий для управления цепочками поставок.  </w:t>
      </w:r>
    </w:p>
    <w:p w14:paraId="33FD5CE4" w14:textId="49F082A4" w:rsidR="006C7AF1" w:rsidRDefault="006C7AF1" w:rsidP="001D53E7">
      <w:pPr>
        <w:pStyle w:val="a7"/>
        <w:numPr>
          <w:ilvl w:val="0"/>
          <w:numId w:val="4"/>
        </w:numPr>
        <w:spacing w:after="0" w:line="240" w:lineRule="auto"/>
        <w:ind w:left="0" w:firstLine="709"/>
        <w:jc w:val="both"/>
        <w:rPr>
          <w:rFonts w:ascii="Times New Roman" w:hAnsi="Times New Roman" w:cs="Times New Roman"/>
          <w:sz w:val="24"/>
          <w:szCs w:val="24"/>
        </w:rPr>
      </w:pPr>
      <w:r w:rsidRPr="00F20A95">
        <w:rPr>
          <w:rFonts w:ascii="Times New Roman" w:hAnsi="Times New Roman" w:cs="Times New Roman"/>
          <w:sz w:val="24"/>
          <w:szCs w:val="24"/>
        </w:rPr>
        <w:t>Сотрудничество между всеми участниками рынка.</w:t>
      </w:r>
    </w:p>
    <w:p w14:paraId="1756B55F" w14:textId="2AB6D8F7" w:rsidR="004A1146" w:rsidRPr="004A1146" w:rsidRDefault="004A1146" w:rsidP="001D53E7">
      <w:pPr>
        <w:spacing w:after="0" w:line="240" w:lineRule="auto"/>
        <w:ind w:firstLine="709"/>
        <w:jc w:val="both"/>
        <w:rPr>
          <w:rFonts w:ascii="Times New Roman" w:hAnsi="Times New Roman" w:cs="Times New Roman"/>
          <w:sz w:val="24"/>
        </w:rPr>
      </w:pPr>
      <w:r w:rsidRPr="004A1146">
        <w:rPr>
          <w:rFonts w:ascii="Times New Roman" w:hAnsi="Times New Roman" w:cs="Times New Roman"/>
          <w:sz w:val="24"/>
        </w:rPr>
        <w:t>Исходя из представленной информации, был сделан вывод о том, что и</w:t>
      </w:r>
      <w:r w:rsidR="00A479D1">
        <w:rPr>
          <w:rFonts w:ascii="Times New Roman" w:hAnsi="Times New Roman" w:cs="Times New Roman"/>
          <w:sz w:val="24"/>
        </w:rPr>
        <w:t>нтеграция мерча</w:t>
      </w:r>
      <w:r w:rsidRPr="004A1146">
        <w:rPr>
          <w:rFonts w:ascii="Times New Roman" w:hAnsi="Times New Roman" w:cs="Times New Roman"/>
          <w:sz w:val="24"/>
        </w:rPr>
        <w:t xml:space="preserve">ндайзинга с маркетингом и логистикой формирует системный подход к повышению эффективности ритейла: </w:t>
      </w:r>
    </w:p>
    <w:p w14:paraId="7478BE52" w14:textId="77777777" w:rsidR="004A1146" w:rsidRPr="004A1146" w:rsidRDefault="004A1146" w:rsidP="001D53E7">
      <w:pPr>
        <w:pStyle w:val="a7"/>
        <w:numPr>
          <w:ilvl w:val="0"/>
          <w:numId w:val="17"/>
        </w:numPr>
        <w:spacing w:after="0" w:line="240" w:lineRule="auto"/>
        <w:ind w:left="0" w:firstLine="709"/>
        <w:jc w:val="both"/>
        <w:rPr>
          <w:rFonts w:ascii="Times New Roman" w:hAnsi="Times New Roman" w:cs="Times New Roman"/>
          <w:sz w:val="24"/>
        </w:rPr>
      </w:pPr>
      <w:r w:rsidRPr="004A1146">
        <w:rPr>
          <w:rFonts w:ascii="Times New Roman" w:hAnsi="Times New Roman" w:cs="Times New Roman"/>
          <w:sz w:val="24"/>
        </w:rPr>
        <w:t>Маркетинг через визуальное и психологическое воздействие (POS-материалы, FMOT, импульсные зоны) активирует спрос, создавая эмоциональную связь с покупателем;</w:t>
      </w:r>
    </w:p>
    <w:p w14:paraId="572A5490" w14:textId="77777777" w:rsidR="004A1146" w:rsidRPr="004A1146" w:rsidRDefault="004A1146" w:rsidP="001D53E7">
      <w:pPr>
        <w:pStyle w:val="a7"/>
        <w:numPr>
          <w:ilvl w:val="0"/>
          <w:numId w:val="17"/>
        </w:numPr>
        <w:spacing w:after="0" w:line="240" w:lineRule="auto"/>
        <w:ind w:left="0" w:firstLine="709"/>
        <w:jc w:val="both"/>
        <w:rPr>
          <w:rFonts w:ascii="Times New Roman" w:hAnsi="Times New Roman" w:cs="Times New Roman"/>
          <w:sz w:val="24"/>
        </w:rPr>
      </w:pPr>
      <w:r w:rsidRPr="004A1146">
        <w:rPr>
          <w:rFonts w:ascii="Times New Roman" w:hAnsi="Times New Roman" w:cs="Times New Roman"/>
          <w:sz w:val="24"/>
        </w:rPr>
        <w:t>Логистика обеспечивает операционную поддержку: оптимизация запасов, синхронизация цепочек поставок (ERP, RFID) и рациональное использование пространства минимизируют издержки и предотвращают дисбалансы;</w:t>
      </w:r>
    </w:p>
    <w:p w14:paraId="0DFAED0F" w14:textId="68476B27" w:rsidR="004A1146" w:rsidRDefault="004A1146" w:rsidP="001D53E7">
      <w:pPr>
        <w:pStyle w:val="a7"/>
        <w:numPr>
          <w:ilvl w:val="0"/>
          <w:numId w:val="17"/>
        </w:numPr>
        <w:spacing w:after="0" w:line="240" w:lineRule="auto"/>
        <w:ind w:left="0" w:firstLine="709"/>
        <w:jc w:val="both"/>
        <w:rPr>
          <w:rFonts w:ascii="Times New Roman" w:hAnsi="Times New Roman" w:cs="Times New Roman"/>
          <w:sz w:val="24"/>
        </w:rPr>
      </w:pPr>
      <w:r w:rsidRPr="004A1146">
        <w:rPr>
          <w:rFonts w:ascii="Times New Roman" w:hAnsi="Times New Roman" w:cs="Times New Roman"/>
          <w:sz w:val="24"/>
        </w:rPr>
        <w:t>Цифровизация выступает связующим звеном: автоматизация данных через ERP-системы позвол</w:t>
      </w:r>
      <w:r w:rsidR="00A479D1">
        <w:rPr>
          <w:rFonts w:ascii="Times New Roman" w:hAnsi="Times New Roman" w:cs="Times New Roman"/>
          <w:sz w:val="24"/>
        </w:rPr>
        <w:t>яет мгновенно адаптировать мерча</w:t>
      </w:r>
      <w:r w:rsidRPr="004A1146">
        <w:rPr>
          <w:rFonts w:ascii="Times New Roman" w:hAnsi="Times New Roman" w:cs="Times New Roman"/>
          <w:sz w:val="24"/>
        </w:rPr>
        <w:t>ндайзинг-стратегии под изменения спроса, усиливая гибкость бизнеса.</w:t>
      </w:r>
    </w:p>
    <w:p w14:paraId="53759F8F" w14:textId="4D5AAC45" w:rsidR="004A1146" w:rsidRPr="004A1146" w:rsidRDefault="004A1146" w:rsidP="001D53E7">
      <w:pPr>
        <w:spacing w:after="0" w:line="240" w:lineRule="auto"/>
        <w:ind w:firstLine="709"/>
        <w:jc w:val="both"/>
        <w:rPr>
          <w:rFonts w:ascii="Times New Roman" w:hAnsi="Times New Roman" w:cs="Times New Roman"/>
          <w:sz w:val="24"/>
        </w:rPr>
      </w:pPr>
      <w:r w:rsidRPr="004A1146">
        <w:rPr>
          <w:rFonts w:ascii="Times New Roman" w:hAnsi="Times New Roman" w:cs="Times New Roman"/>
          <w:sz w:val="24"/>
        </w:rPr>
        <w:t xml:space="preserve">Результат синергии — </w:t>
      </w:r>
      <w:r w:rsidRPr="004A1146">
        <w:rPr>
          <w:rFonts w:ascii="Times New Roman" w:hAnsi="Times New Roman" w:cs="Times New Roman"/>
          <w:bCs/>
          <w:sz w:val="24"/>
        </w:rPr>
        <w:t>рост продаж на 20–35%</w:t>
      </w:r>
      <w:r w:rsidRPr="004A1146">
        <w:rPr>
          <w:rFonts w:ascii="Times New Roman" w:hAnsi="Times New Roman" w:cs="Times New Roman"/>
          <w:sz w:val="24"/>
        </w:rPr>
        <w:t xml:space="preserve"> — подтверждает, что сочетание креативных маркетинговых решений, точной логистики и технологий формирует конкурентное преимущество. Однако успех зависит от слаженной работы всех элементов: даже локальные сбои в управлении запасами или устаревшие POS-материалы могут снизить эффект ци</w:t>
      </w:r>
      <w:r w:rsidR="00A479D1">
        <w:rPr>
          <w:rFonts w:ascii="Times New Roman" w:hAnsi="Times New Roman" w:cs="Times New Roman"/>
          <w:sz w:val="24"/>
        </w:rPr>
        <w:t>фровизации. Таким образом, мерча</w:t>
      </w:r>
      <w:r w:rsidRPr="004A1146">
        <w:rPr>
          <w:rFonts w:ascii="Times New Roman" w:hAnsi="Times New Roman" w:cs="Times New Roman"/>
          <w:sz w:val="24"/>
        </w:rPr>
        <w:t>ндайзинг становится не просто инструментом выкладки товаров, а стратегией, объединяющей данные, процессы и потребительский опыт.</w:t>
      </w:r>
    </w:p>
    <w:p w14:paraId="3EA75AC1" w14:textId="0CDFCFB9" w:rsidR="00A82FEA" w:rsidRPr="00A479D1" w:rsidRDefault="00A479D1" w:rsidP="001D53E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На третьем</w:t>
      </w:r>
      <w:r w:rsidRPr="00A479D1">
        <w:rPr>
          <w:rFonts w:ascii="Times New Roman" w:hAnsi="Times New Roman" w:cs="Times New Roman"/>
          <w:sz w:val="24"/>
          <w:szCs w:val="24"/>
        </w:rPr>
        <w:t xml:space="preserve"> этапе исследования были сделаны выводы о том,</w:t>
      </w:r>
      <w:r>
        <w:rPr>
          <w:rFonts w:ascii="Times New Roman" w:hAnsi="Times New Roman" w:cs="Times New Roman"/>
          <w:sz w:val="24"/>
          <w:szCs w:val="24"/>
        </w:rPr>
        <w:t xml:space="preserve"> что мерча</w:t>
      </w:r>
      <w:r w:rsidRPr="00A479D1">
        <w:rPr>
          <w:rFonts w:ascii="Times New Roman" w:hAnsi="Times New Roman" w:cs="Times New Roman"/>
          <w:sz w:val="24"/>
          <w:szCs w:val="24"/>
        </w:rPr>
        <w:t>ндайзинг в процессе</w:t>
      </w:r>
      <w:r>
        <w:rPr>
          <w:rFonts w:ascii="Times New Roman" w:hAnsi="Times New Roman" w:cs="Times New Roman"/>
          <w:sz w:val="24"/>
          <w:szCs w:val="24"/>
        </w:rPr>
        <w:t xml:space="preserve"> технологического развития,</w:t>
      </w:r>
      <w:r w:rsidRPr="00A479D1">
        <w:rPr>
          <w:rFonts w:ascii="Times New Roman" w:hAnsi="Times New Roman" w:cs="Times New Roman"/>
          <w:sz w:val="24"/>
          <w:szCs w:val="24"/>
        </w:rPr>
        <w:t xml:space="preserve"> также не стоял на месте, и вследствие этого всё больше компаний, работающих в сфере торговли, переходят от традиционного </w:t>
      </w:r>
      <w:r>
        <w:rPr>
          <w:rFonts w:ascii="Times New Roman" w:hAnsi="Times New Roman" w:cs="Times New Roman"/>
          <w:sz w:val="24"/>
          <w:szCs w:val="24"/>
        </w:rPr>
        <w:t>мерча</w:t>
      </w:r>
      <w:r w:rsidRPr="00A479D1">
        <w:rPr>
          <w:rFonts w:ascii="Times New Roman" w:hAnsi="Times New Roman" w:cs="Times New Roman"/>
          <w:sz w:val="24"/>
          <w:szCs w:val="24"/>
        </w:rPr>
        <w:t xml:space="preserve">ндайзинга к цифровому. </w:t>
      </w:r>
      <w:r w:rsidR="00A82FEA" w:rsidRPr="00A479D1">
        <w:rPr>
          <w:rFonts w:ascii="Times New Roman" w:hAnsi="Times New Roman" w:cs="Times New Roman"/>
          <w:sz w:val="24"/>
          <w:szCs w:val="24"/>
        </w:rPr>
        <w:t>Ц</w:t>
      </w:r>
      <w:r>
        <w:rPr>
          <w:rFonts w:ascii="Times New Roman" w:hAnsi="Times New Roman" w:cs="Times New Roman"/>
          <w:sz w:val="24"/>
          <w:szCs w:val="24"/>
        </w:rPr>
        <w:t>ифровой мерча</w:t>
      </w:r>
      <w:r w:rsidR="00A82FEA" w:rsidRPr="00A479D1">
        <w:rPr>
          <w:rFonts w:ascii="Times New Roman" w:hAnsi="Times New Roman" w:cs="Times New Roman"/>
          <w:sz w:val="24"/>
          <w:szCs w:val="24"/>
        </w:rPr>
        <w:t xml:space="preserve">ндайзинг представляет собой интеграцию высокотехнологичных решений для оптимизации представления товаров и взаимодействия с потребителем. Современные технологии, такие как проекционные и интерактивные витрины, </w:t>
      </w:r>
      <w:r w:rsidR="00A82FEA" w:rsidRPr="00A479D1">
        <w:rPr>
          <w:rFonts w:ascii="Times New Roman" w:hAnsi="Times New Roman" w:cs="Times New Roman"/>
          <w:sz w:val="24"/>
          <w:szCs w:val="24"/>
        </w:rPr>
        <w:lastRenderedPageBreak/>
        <w:t xml:space="preserve">трансформируют традиционные подходы. Проекционные витрины, использующие пленку обратной проекции и инфракрасные датчики, позволяют создавать динамичные визуальные инсталляции, реагирующие на движение прохожих, что повышает вовлеченность покупателей </w:t>
      </w:r>
      <w:r w:rsidR="002C5D3A" w:rsidRPr="00A479D1">
        <w:rPr>
          <w:rFonts w:ascii="Times New Roman" w:hAnsi="Times New Roman" w:cs="Times New Roman"/>
          <w:sz w:val="24"/>
          <w:szCs w:val="24"/>
        </w:rPr>
        <w:t>[7]</w:t>
      </w:r>
      <w:r w:rsidR="00A82FEA" w:rsidRPr="00A479D1">
        <w:rPr>
          <w:rFonts w:ascii="Times New Roman" w:hAnsi="Times New Roman" w:cs="Times New Roman"/>
          <w:sz w:val="24"/>
          <w:szCs w:val="24"/>
        </w:rPr>
        <w:t xml:space="preserve"> Интерактивные витрины, основанные на технологиях мультитач и Kinect, предоставляют пользователям возможность управлять контентом, получая персонализированную информацию о продуктах.</w:t>
      </w:r>
    </w:p>
    <w:p w14:paraId="0F5CF55F" w14:textId="6DD079E7" w:rsidR="00A82FEA" w:rsidRPr="00F20A95" w:rsidRDefault="00A82FEA"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Виртуальные полки и 3D-витрины расширяют возможности демонстрации товаров. Например, ЖК-панели с системой Kinect позволяют удаленно управлять ассортиментом, а 3D-проекции в воздухе создают эффект «живой» витрины, адаптирующейся к траектории движения покупателя. Такие решения не только привлекают внимание, но и сокращают логистические издержки, заменяя физические образцы виртуальными аналогами </w:t>
      </w:r>
      <w:r w:rsidR="002C5D3A" w:rsidRPr="00F20A95">
        <w:rPr>
          <w:rFonts w:ascii="Times New Roman" w:hAnsi="Times New Roman" w:cs="Times New Roman"/>
          <w:sz w:val="24"/>
          <w:szCs w:val="24"/>
        </w:rPr>
        <w:t>[8]</w:t>
      </w:r>
      <w:r w:rsidRPr="00F20A95">
        <w:rPr>
          <w:rFonts w:ascii="Times New Roman" w:hAnsi="Times New Roman" w:cs="Times New Roman"/>
          <w:sz w:val="24"/>
          <w:szCs w:val="24"/>
        </w:rPr>
        <w:t>.</w:t>
      </w:r>
    </w:p>
    <w:p w14:paraId="6F24EDA6" w14:textId="3787760C" w:rsidR="00A82FEA" w:rsidRPr="00F20A95" w:rsidRDefault="00A82FEA"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Важную роль играют аналитические инструменты, такие как тепловые карты от Aislelabs и Prism Skylabs, которые отслеживают поведение покупателей, анализируют время пребывания у полок и выявляют популярные товары. ERP-системы интегрируют данные о запасах, продажах и планограммах, обеспечивая оперативное управление ассортиментом.</w:t>
      </w:r>
    </w:p>
    <w:p w14:paraId="437E1612" w14:textId="7C849F3B" w:rsidR="00A82FEA" w:rsidRPr="00F20A95" w:rsidRDefault="00A82FEA"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Цифровая торговля, ускоренная пандемией COVID-19, перешла на новый уровень, сочетая онлайн- и офлайн-каналы. Мобильные приложения стали ключевым инструментом: они позволяют покупателям сканировать товары, получать информацию о составе, ценах и доступных размерах, а также оформлять доставку </w:t>
      </w:r>
      <w:r w:rsidR="005352D3" w:rsidRPr="00F20A95">
        <w:rPr>
          <w:rFonts w:ascii="Times New Roman" w:hAnsi="Times New Roman" w:cs="Times New Roman"/>
          <w:sz w:val="24"/>
          <w:szCs w:val="24"/>
        </w:rPr>
        <w:t>[7]</w:t>
      </w:r>
      <w:r w:rsidRPr="00F20A95">
        <w:rPr>
          <w:rFonts w:ascii="Times New Roman" w:hAnsi="Times New Roman" w:cs="Times New Roman"/>
          <w:sz w:val="24"/>
          <w:szCs w:val="24"/>
        </w:rPr>
        <w:t>. Например, Walmart внедрил приложения для сотрудников, синхронизирующие задачи и улучшающие коммуникацию с клиентами.</w:t>
      </w:r>
    </w:p>
    <w:p w14:paraId="3EA9672F" w14:textId="69DE818D" w:rsidR="00A82FEA" w:rsidRPr="00F20A95" w:rsidRDefault="00A82FEA"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Бесконтактные технологии, такие как Amazon Prime Air с использованием дронов, сокращают время доставки, повышая удобство. Социальные сети и VR/AR-решения интегрируются в цифровую торговлю, создавая «бесконечные полки» — виртуальные каталоги, доступные через смартфоны или гарнитуры. Например, технологии дополненной реальности позволяют «примерить» одежду через виртуального аватара, что стимулирует импульсные покупки</w:t>
      </w:r>
      <w:r w:rsidR="005352D3" w:rsidRPr="00F20A95">
        <w:rPr>
          <w:rFonts w:ascii="Times New Roman" w:hAnsi="Times New Roman" w:cs="Times New Roman"/>
          <w:sz w:val="24"/>
          <w:szCs w:val="24"/>
        </w:rPr>
        <w:t xml:space="preserve"> [8]</w:t>
      </w:r>
      <w:r w:rsidRPr="00F20A95">
        <w:rPr>
          <w:rFonts w:ascii="Times New Roman" w:hAnsi="Times New Roman" w:cs="Times New Roman"/>
          <w:sz w:val="24"/>
          <w:szCs w:val="24"/>
        </w:rPr>
        <w:t>.</w:t>
      </w:r>
    </w:p>
    <w:p w14:paraId="2F90A4E2" w14:textId="11C10092" w:rsidR="00A82FEA" w:rsidRPr="00F20A95" w:rsidRDefault="00A82FEA"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 xml:space="preserve">На маркетплейсах мерчендайзинг фокусируется на оптимизации виртуального пространства. Ключевым аспектом становится персонализация: алгоритмы анализируют историю покупок, предпочтения и демографические данные, формируя индивидуальные рекомендации. Например, системы на основе AI определяют эмоции пользователей через камеры, корректируя предложения в реальном времени </w:t>
      </w:r>
      <w:r w:rsidR="005352D3" w:rsidRPr="00F20A95">
        <w:rPr>
          <w:rFonts w:ascii="Times New Roman" w:hAnsi="Times New Roman" w:cs="Times New Roman"/>
          <w:sz w:val="24"/>
          <w:szCs w:val="24"/>
        </w:rPr>
        <w:t>[7].</w:t>
      </w:r>
    </w:p>
    <w:p w14:paraId="648B8CAB" w14:textId="6779AC6D" w:rsidR="00A82FEA" w:rsidRPr="00F20A95" w:rsidRDefault="00A82FEA"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Виртуальные примерочные и умные зеркала стали трендом в fashion-ритейле. Такие решения, как у IKEA, позволяют визуализировать мебель в интерьере, что повышает конверсию. Интеграция XR-технологий (расширенной реальности) на платформах вроде Alibaba или Amazon создает интерактивные шоурумы, где пользователи могут взаимодействовать с 3D-моделями товаров</w:t>
      </w:r>
      <w:r w:rsidR="005352D3" w:rsidRPr="00F20A95">
        <w:rPr>
          <w:rFonts w:ascii="Times New Roman" w:hAnsi="Times New Roman" w:cs="Times New Roman"/>
          <w:sz w:val="24"/>
          <w:szCs w:val="24"/>
        </w:rPr>
        <w:t xml:space="preserve"> [9]</w:t>
      </w:r>
      <w:r w:rsidRPr="00F20A95">
        <w:rPr>
          <w:rFonts w:ascii="Times New Roman" w:hAnsi="Times New Roman" w:cs="Times New Roman"/>
          <w:sz w:val="24"/>
          <w:szCs w:val="24"/>
        </w:rPr>
        <w:t>.</w:t>
      </w:r>
    </w:p>
    <w:p w14:paraId="1D056DE6" w14:textId="3FBB5EC3" w:rsidR="00A82FEA" w:rsidRPr="00F20A95" w:rsidRDefault="00A82FEA"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Омниканальность — еще один ключевой принцип. Данные из социальных сетей, онлайн-корзин и офлайн-визитов объединяются, формируя единый профиль клиента. Это позволяет маркетплейсам предлагать кросспродажи и динамические скидки, усиливая лояльность.</w:t>
      </w:r>
    </w:p>
    <w:p w14:paraId="7915E9CC" w14:textId="3BB2FFEF" w:rsidR="00AD46AF" w:rsidRDefault="00A82FEA" w:rsidP="001D53E7">
      <w:pPr>
        <w:spacing w:after="0" w:line="240" w:lineRule="auto"/>
        <w:ind w:firstLine="709"/>
        <w:jc w:val="both"/>
        <w:rPr>
          <w:rFonts w:ascii="Times New Roman" w:hAnsi="Times New Roman" w:cs="Times New Roman"/>
          <w:sz w:val="24"/>
          <w:szCs w:val="24"/>
        </w:rPr>
      </w:pPr>
      <w:r w:rsidRPr="00F20A95">
        <w:rPr>
          <w:rFonts w:ascii="Times New Roman" w:hAnsi="Times New Roman" w:cs="Times New Roman"/>
          <w:sz w:val="24"/>
          <w:szCs w:val="24"/>
        </w:rPr>
        <w:t>Цифровой мерчендайзинг и торговля переопределяют взаимодействие с потребителем, делая акцент на персонализации, скорости и интерактивности. Технологии VR/AR, аналитика данных и интеграция с маркетплейсами с</w:t>
      </w:r>
      <w:r w:rsidR="001D53E7">
        <w:rPr>
          <w:rFonts w:ascii="Times New Roman" w:hAnsi="Times New Roman" w:cs="Times New Roman"/>
          <w:sz w:val="24"/>
          <w:szCs w:val="24"/>
        </w:rPr>
        <w:t>оздают основу для «умного» мерча</w:t>
      </w:r>
      <w:r w:rsidRPr="00F20A95">
        <w:rPr>
          <w:rFonts w:ascii="Times New Roman" w:hAnsi="Times New Roman" w:cs="Times New Roman"/>
          <w:sz w:val="24"/>
          <w:szCs w:val="24"/>
        </w:rPr>
        <w:t>ндайзинга, который не только увеличивает продажи, но и формирует устойчивые эмоциональные связи с брендом.</w:t>
      </w:r>
    </w:p>
    <w:p w14:paraId="0E67D378" w14:textId="77777777" w:rsidR="00A479D1" w:rsidRDefault="00A479D1" w:rsidP="001D53E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На основе данного исследования были сделаны следующие выводы:</w:t>
      </w:r>
    </w:p>
    <w:p w14:paraId="1DD7C83B" w14:textId="3412020A" w:rsidR="00A479D1" w:rsidRPr="001D53E7" w:rsidRDefault="00A479D1" w:rsidP="001D53E7">
      <w:pPr>
        <w:spacing w:after="0" w:line="240" w:lineRule="auto"/>
        <w:ind w:firstLine="709"/>
        <w:jc w:val="both"/>
        <w:rPr>
          <w:rFonts w:ascii="Times New Roman" w:hAnsi="Times New Roman" w:cs="Times New Roman"/>
          <w:sz w:val="24"/>
          <w:szCs w:val="24"/>
        </w:rPr>
      </w:pPr>
      <w:r w:rsidRPr="00A479D1">
        <w:rPr>
          <w:rFonts w:ascii="Times New Roman" w:hAnsi="Times New Roman" w:cs="Times New Roman"/>
          <w:sz w:val="24"/>
          <w:szCs w:val="24"/>
        </w:rPr>
        <w:t>1.</w:t>
      </w:r>
      <w:r w:rsidRPr="00A479D1">
        <w:rPr>
          <w:rFonts w:ascii="Times New Roman" w:hAnsi="Times New Roman" w:cs="Times New Roman"/>
          <w:sz w:val="24"/>
          <w:szCs w:val="24"/>
        </w:rPr>
        <w:tab/>
        <w:t>Значимость мерчен</w:t>
      </w:r>
      <w:r w:rsidR="001D53E7">
        <w:rPr>
          <w:rFonts w:ascii="Times New Roman" w:hAnsi="Times New Roman" w:cs="Times New Roman"/>
          <w:sz w:val="24"/>
          <w:szCs w:val="24"/>
        </w:rPr>
        <w:t>дайзинга в современных условиях: мерча</w:t>
      </w:r>
      <w:r w:rsidRPr="001D53E7">
        <w:rPr>
          <w:rFonts w:ascii="Times New Roman" w:hAnsi="Times New Roman" w:cs="Times New Roman"/>
          <w:sz w:val="24"/>
          <w:szCs w:val="24"/>
        </w:rPr>
        <w:t>ндайзинг остается ключевым инструментом повышения конкурентоспособности ритейла, объединяя маркетинг, логистику и цифровые технологии. Его роль усиливается в условиях роста онлайн-торговли и требований к персонализации потребительского опыта.</w:t>
      </w:r>
    </w:p>
    <w:p w14:paraId="194549D0" w14:textId="42DBADF3" w:rsidR="00A479D1" w:rsidRPr="00A479D1" w:rsidRDefault="00A479D1" w:rsidP="001D53E7">
      <w:pPr>
        <w:spacing w:after="0" w:line="240" w:lineRule="auto"/>
        <w:ind w:firstLine="709"/>
        <w:jc w:val="both"/>
        <w:rPr>
          <w:rFonts w:ascii="Times New Roman" w:hAnsi="Times New Roman" w:cs="Times New Roman"/>
          <w:sz w:val="24"/>
          <w:szCs w:val="24"/>
        </w:rPr>
      </w:pPr>
      <w:r w:rsidRPr="00A479D1">
        <w:rPr>
          <w:rFonts w:ascii="Times New Roman" w:hAnsi="Times New Roman" w:cs="Times New Roman"/>
          <w:sz w:val="24"/>
          <w:szCs w:val="24"/>
        </w:rPr>
        <w:t>2.</w:t>
      </w:r>
      <w:r w:rsidRPr="00A479D1">
        <w:rPr>
          <w:rFonts w:ascii="Times New Roman" w:hAnsi="Times New Roman" w:cs="Times New Roman"/>
          <w:sz w:val="24"/>
          <w:szCs w:val="24"/>
        </w:rPr>
        <w:tab/>
        <w:t>Рег</w:t>
      </w:r>
      <w:r w:rsidR="001D53E7">
        <w:rPr>
          <w:rFonts w:ascii="Times New Roman" w:hAnsi="Times New Roman" w:cs="Times New Roman"/>
          <w:sz w:val="24"/>
          <w:szCs w:val="24"/>
        </w:rPr>
        <w:t>уляторная база и стандартизация: з</w:t>
      </w:r>
      <w:r w:rsidRPr="00A479D1">
        <w:rPr>
          <w:rFonts w:ascii="Times New Roman" w:hAnsi="Times New Roman" w:cs="Times New Roman"/>
          <w:sz w:val="24"/>
          <w:szCs w:val="24"/>
        </w:rPr>
        <w:t>аконодательство РФ (№ 381-ФЗ, № 2300-1, ГОСТ Р 51303-2013) о</w:t>
      </w:r>
      <w:r w:rsidR="001D53E7">
        <w:rPr>
          <w:rFonts w:ascii="Times New Roman" w:hAnsi="Times New Roman" w:cs="Times New Roman"/>
          <w:sz w:val="24"/>
          <w:szCs w:val="24"/>
        </w:rPr>
        <w:t>хватывает основные аспекты мерча</w:t>
      </w:r>
      <w:r w:rsidRPr="00A479D1">
        <w:rPr>
          <w:rFonts w:ascii="Times New Roman" w:hAnsi="Times New Roman" w:cs="Times New Roman"/>
          <w:sz w:val="24"/>
          <w:szCs w:val="24"/>
        </w:rPr>
        <w:t xml:space="preserve">ндайзинга: выкладку товаров, </w:t>
      </w:r>
      <w:r w:rsidRPr="00A479D1">
        <w:rPr>
          <w:rFonts w:ascii="Times New Roman" w:hAnsi="Times New Roman" w:cs="Times New Roman"/>
          <w:sz w:val="24"/>
          <w:szCs w:val="24"/>
        </w:rPr>
        <w:lastRenderedPageBreak/>
        <w:t>информирование потребителей, безопасность продукции. Однако ГОСТы и законы требуют актуализации для интеграции с цифровыми решениями.</w:t>
      </w:r>
    </w:p>
    <w:p w14:paraId="46E1F497" w14:textId="5C4C47A7" w:rsidR="002C5D3A" w:rsidRPr="00F20A95" w:rsidRDefault="00A479D1" w:rsidP="001D53E7">
      <w:pPr>
        <w:spacing w:after="0" w:line="240" w:lineRule="auto"/>
        <w:ind w:firstLine="709"/>
        <w:jc w:val="both"/>
        <w:rPr>
          <w:rFonts w:ascii="Times New Roman" w:hAnsi="Times New Roman" w:cs="Times New Roman"/>
          <w:sz w:val="24"/>
          <w:szCs w:val="24"/>
        </w:rPr>
      </w:pPr>
      <w:r w:rsidRPr="00A479D1">
        <w:rPr>
          <w:rFonts w:ascii="Times New Roman" w:hAnsi="Times New Roman" w:cs="Times New Roman"/>
          <w:sz w:val="24"/>
          <w:szCs w:val="24"/>
        </w:rPr>
        <w:t>3.</w:t>
      </w:r>
      <w:r w:rsidRPr="00A479D1">
        <w:rPr>
          <w:rFonts w:ascii="Times New Roman" w:hAnsi="Times New Roman" w:cs="Times New Roman"/>
          <w:sz w:val="24"/>
          <w:szCs w:val="24"/>
        </w:rPr>
        <w:tab/>
        <w:t>Цифровы</w:t>
      </w:r>
      <w:r w:rsidR="001D53E7">
        <w:rPr>
          <w:rFonts w:ascii="Times New Roman" w:hAnsi="Times New Roman" w:cs="Times New Roman"/>
          <w:sz w:val="24"/>
          <w:szCs w:val="24"/>
        </w:rPr>
        <w:t>е инструменты как драйвер роста: в</w:t>
      </w:r>
      <w:r w:rsidRPr="00A479D1">
        <w:rPr>
          <w:rFonts w:ascii="Times New Roman" w:hAnsi="Times New Roman" w:cs="Times New Roman"/>
          <w:sz w:val="24"/>
          <w:szCs w:val="24"/>
        </w:rPr>
        <w:t>недрение технологий (тепловые карты, проекционные витрины, AI-рекомендации) демонстрирует повышение конверсии на 15–30%. Примеры Alibaba подтверждают, что цифровизация трансформирует потребительский опыт, сокращая логистические издержки.</w:t>
      </w:r>
      <w:r w:rsidR="002C5D3A" w:rsidRPr="00F20A95">
        <w:rPr>
          <w:rFonts w:ascii="Times New Roman" w:hAnsi="Times New Roman" w:cs="Times New Roman"/>
          <w:sz w:val="24"/>
          <w:szCs w:val="24"/>
        </w:rPr>
        <w:br w:type="page"/>
      </w:r>
    </w:p>
    <w:p w14:paraId="22CF0DF7" w14:textId="4B4AF677" w:rsidR="006C7AF1" w:rsidRPr="00AA73C9" w:rsidRDefault="002C5D3A" w:rsidP="00F20A95">
      <w:pPr>
        <w:spacing w:after="0" w:line="240" w:lineRule="auto"/>
        <w:ind w:firstLine="709"/>
        <w:jc w:val="both"/>
        <w:rPr>
          <w:rFonts w:ascii="Times New Roman" w:hAnsi="Times New Roman" w:cs="Times New Roman"/>
          <w:bCs/>
          <w:iCs/>
          <w:color w:val="000000" w:themeColor="text1"/>
          <w:sz w:val="24"/>
          <w:szCs w:val="24"/>
        </w:rPr>
      </w:pPr>
      <w:r w:rsidRPr="00AA73C9">
        <w:rPr>
          <w:rFonts w:ascii="Times New Roman" w:hAnsi="Times New Roman" w:cs="Times New Roman"/>
          <w:bCs/>
          <w:iCs/>
          <w:color w:val="000000" w:themeColor="text1"/>
          <w:sz w:val="24"/>
          <w:szCs w:val="24"/>
        </w:rPr>
        <w:lastRenderedPageBreak/>
        <w:t>Список источников:</w:t>
      </w:r>
    </w:p>
    <w:p w14:paraId="62E228E0" w14:textId="77777777" w:rsidR="002C5D3A" w:rsidRPr="00AA73C9" w:rsidRDefault="002C5D3A" w:rsidP="00F20A95">
      <w:pPr>
        <w:pStyle w:val="a7"/>
        <w:numPr>
          <w:ilvl w:val="0"/>
          <w:numId w:val="15"/>
        </w:numPr>
        <w:spacing w:line="240" w:lineRule="auto"/>
        <w:ind w:firstLine="709"/>
        <w:jc w:val="both"/>
        <w:rPr>
          <w:rFonts w:ascii="Times New Roman" w:hAnsi="Times New Roman" w:cs="Times New Roman"/>
          <w:color w:val="000000" w:themeColor="text1"/>
          <w:sz w:val="24"/>
          <w:szCs w:val="24"/>
          <w:lang w:val="en-US"/>
        </w:rPr>
      </w:pPr>
      <w:r w:rsidRPr="00AA73C9">
        <w:rPr>
          <w:rFonts w:ascii="Times New Roman" w:hAnsi="Times New Roman" w:cs="Times New Roman"/>
          <w:color w:val="000000" w:themeColor="text1"/>
          <w:sz w:val="24"/>
          <w:szCs w:val="24"/>
          <w:lang w:val="en-US"/>
        </w:rPr>
        <w:t xml:space="preserve">Muñoz, M.A.B. (2004). Merchandising: cómo mejorar la imagen de un establecimiento comercial.  </w:t>
      </w:r>
    </w:p>
    <w:p w14:paraId="0300E6D8" w14:textId="77777777" w:rsidR="002C5D3A" w:rsidRPr="00AA73C9" w:rsidRDefault="002C5D3A" w:rsidP="00F20A95">
      <w:pPr>
        <w:pStyle w:val="a7"/>
        <w:numPr>
          <w:ilvl w:val="0"/>
          <w:numId w:val="15"/>
        </w:numPr>
        <w:spacing w:line="240" w:lineRule="auto"/>
        <w:ind w:firstLine="709"/>
        <w:jc w:val="both"/>
        <w:rPr>
          <w:rFonts w:ascii="Times New Roman" w:hAnsi="Times New Roman" w:cs="Times New Roman"/>
          <w:color w:val="000000" w:themeColor="text1"/>
          <w:sz w:val="24"/>
          <w:szCs w:val="24"/>
        </w:rPr>
      </w:pPr>
      <w:r w:rsidRPr="00AA73C9">
        <w:rPr>
          <w:rFonts w:ascii="Times New Roman" w:hAnsi="Times New Roman" w:cs="Times New Roman"/>
          <w:color w:val="000000" w:themeColor="text1"/>
          <w:sz w:val="24"/>
          <w:szCs w:val="24"/>
        </w:rPr>
        <w:t xml:space="preserve">Барковская, Н.А. (2016). Мерчандайзинг: краткий курс лекций.  </w:t>
      </w:r>
    </w:p>
    <w:p w14:paraId="3BC5FE4C" w14:textId="77777777" w:rsidR="002C5D3A" w:rsidRPr="00AA73C9" w:rsidRDefault="002C5D3A" w:rsidP="00F20A95">
      <w:pPr>
        <w:pStyle w:val="a7"/>
        <w:numPr>
          <w:ilvl w:val="0"/>
          <w:numId w:val="15"/>
        </w:numPr>
        <w:spacing w:line="240" w:lineRule="auto"/>
        <w:ind w:firstLine="709"/>
        <w:jc w:val="both"/>
        <w:rPr>
          <w:rFonts w:ascii="Times New Roman" w:hAnsi="Times New Roman" w:cs="Times New Roman"/>
          <w:color w:val="000000" w:themeColor="text1"/>
          <w:sz w:val="24"/>
          <w:szCs w:val="24"/>
          <w:lang w:val="en-US"/>
        </w:rPr>
      </w:pPr>
      <w:r w:rsidRPr="00AA73C9">
        <w:rPr>
          <w:rFonts w:ascii="Times New Roman" w:hAnsi="Times New Roman" w:cs="Times New Roman"/>
          <w:color w:val="000000" w:themeColor="text1"/>
          <w:sz w:val="24"/>
          <w:szCs w:val="24"/>
          <w:lang w:val="en-US"/>
        </w:rPr>
        <w:t xml:space="preserve">Buttle, F. (1984). Merchandising. European Journal of Marketing.  </w:t>
      </w:r>
    </w:p>
    <w:p w14:paraId="43AE2172" w14:textId="77777777" w:rsidR="002C5D3A" w:rsidRPr="00AA73C9" w:rsidRDefault="002C5D3A" w:rsidP="00F20A95">
      <w:pPr>
        <w:pStyle w:val="a7"/>
        <w:numPr>
          <w:ilvl w:val="0"/>
          <w:numId w:val="15"/>
        </w:numPr>
        <w:spacing w:after="0" w:line="240" w:lineRule="auto"/>
        <w:ind w:firstLine="709"/>
        <w:jc w:val="both"/>
        <w:rPr>
          <w:rFonts w:ascii="Times New Roman" w:hAnsi="Times New Roman" w:cs="Times New Roman"/>
          <w:color w:val="000000" w:themeColor="text1"/>
          <w:sz w:val="24"/>
          <w:szCs w:val="24"/>
        </w:rPr>
      </w:pPr>
      <w:r w:rsidRPr="00AA73C9">
        <w:rPr>
          <w:rFonts w:ascii="Times New Roman" w:hAnsi="Times New Roman" w:cs="Times New Roman"/>
          <w:color w:val="000000" w:themeColor="text1"/>
          <w:sz w:val="24"/>
          <w:szCs w:val="24"/>
        </w:rPr>
        <w:t xml:space="preserve">Архипенкова, А.С., Гайдукова, О.Д. (2016). Мерчендайзинг в России: проблемы и перспективы.  </w:t>
      </w:r>
    </w:p>
    <w:p w14:paraId="0A45E2E4" w14:textId="77777777" w:rsidR="002C5D3A" w:rsidRPr="00AA73C9" w:rsidRDefault="002C5D3A" w:rsidP="00F20A95">
      <w:pPr>
        <w:pStyle w:val="a7"/>
        <w:numPr>
          <w:ilvl w:val="0"/>
          <w:numId w:val="15"/>
        </w:numPr>
        <w:spacing w:after="0" w:line="240" w:lineRule="auto"/>
        <w:ind w:firstLine="709"/>
        <w:jc w:val="both"/>
        <w:rPr>
          <w:rFonts w:ascii="Times New Roman" w:hAnsi="Times New Roman" w:cs="Times New Roman"/>
          <w:color w:val="000000" w:themeColor="text1"/>
          <w:sz w:val="24"/>
          <w:szCs w:val="24"/>
          <w:lang w:val="en-US"/>
        </w:rPr>
      </w:pPr>
      <w:r w:rsidRPr="00AA73C9">
        <w:rPr>
          <w:rFonts w:ascii="Times New Roman" w:hAnsi="Times New Roman" w:cs="Times New Roman"/>
          <w:color w:val="000000" w:themeColor="text1"/>
          <w:sz w:val="24"/>
          <w:szCs w:val="24"/>
          <w:lang w:val="en-US"/>
        </w:rPr>
        <w:t xml:space="preserve">Using in-store advertising to win the First Moment of Truth (FMOT). Wirespring.  </w:t>
      </w:r>
    </w:p>
    <w:p w14:paraId="361DFB74" w14:textId="77777777" w:rsidR="002C5D3A" w:rsidRPr="00AA73C9" w:rsidRDefault="002C5D3A" w:rsidP="00F20A95">
      <w:pPr>
        <w:pStyle w:val="a7"/>
        <w:numPr>
          <w:ilvl w:val="0"/>
          <w:numId w:val="15"/>
        </w:numPr>
        <w:spacing w:after="0" w:line="240" w:lineRule="auto"/>
        <w:ind w:firstLine="709"/>
        <w:jc w:val="both"/>
        <w:rPr>
          <w:rFonts w:ascii="Times New Roman" w:hAnsi="Times New Roman" w:cs="Times New Roman"/>
          <w:color w:val="000000" w:themeColor="text1"/>
          <w:sz w:val="24"/>
          <w:szCs w:val="24"/>
          <w:lang w:val="en-US"/>
        </w:rPr>
      </w:pPr>
      <w:r w:rsidRPr="00AA73C9">
        <w:rPr>
          <w:rFonts w:ascii="Times New Roman" w:hAnsi="Times New Roman" w:cs="Times New Roman"/>
          <w:color w:val="000000" w:themeColor="text1"/>
          <w:sz w:val="24"/>
          <w:szCs w:val="24"/>
          <w:lang w:val="en-US"/>
        </w:rPr>
        <w:t>POS</w:t>
      </w:r>
      <w:r w:rsidRPr="00AA73C9">
        <w:rPr>
          <w:rFonts w:ascii="Times New Roman" w:hAnsi="Times New Roman" w:cs="Times New Roman"/>
          <w:color w:val="000000" w:themeColor="text1"/>
          <w:sz w:val="24"/>
          <w:szCs w:val="24"/>
        </w:rPr>
        <w:t xml:space="preserve">-материалы: определение и примеры. </w:t>
      </w:r>
      <w:r w:rsidRPr="00AA73C9">
        <w:rPr>
          <w:rFonts w:ascii="Times New Roman" w:hAnsi="Times New Roman" w:cs="Times New Roman"/>
          <w:color w:val="000000" w:themeColor="text1"/>
          <w:sz w:val="24"/>
          <w:szCs w:val="24"/>
          <w:lang w:val="en-US"/>
        </w:rPr>
        <w:t>Kozhgalantereya Optom.</w:t>
      </w:r>
    </w:p>
    <w:p w14:paraId="0763D07F" w14:textId="77777777" w:rsidR="002C5D3A" w:rsidRPr="00AA73C9" w:rsidRDefault="002C5D3A" w:rsidP="00F20A95">
      <w:pPr>
        <w:pStyle w:val="a7"/>
        <w:numPr>
          <w:ilvl w:val="0"/>
          <w:numId w:val="15"/>
        </w:numPr>
        <w:spacing w:after="0" w:line="240" w:lineRule="auto"/>
        <w:ind w:firstLine="709"/>
        <w:jc w:val="both"/>
        <w:rPr>
          <w:rFonts w:ascii="Times New Roman" w:hAnsi="Times New Roman" w:cs="Times New Roman"/>
          <w:color w:val="000000" w:themeColor="text1"/>
          <w:sz w:val="24"/>
          <w:szCs w:val="24"/>
          <w:lang w:val="en-US"/>
        </w:rPr>
      </w:pPr>
      <w:r w:rsidRPr="00AA73C9">
        <w:rPr>
          <w:rFonts w:ascii="Times New Roman" w:hAnsi="Times New Roman" w:cs="Times New Roman"/>
          <w:color w:val="000000" w:themeColor="text1"/>
          <w:sz w:val="24"/>
          <w:szCs w:val="24"/>
        </w:rPr>
        <w:t xml:space="preserve">Дзахмишева И.Ш. Инновационные технологии в мерчендайзинге // Вестник ВГУИТ. </w:t>
      </w:r>
      <w:r w:rsidRPr="00AA73C9">
        <w:rPr>
          <w:rFonts w:ascii="Times New Roman" w:hAnsi="Times New Roman" w:cs="Times New Roman"/>
          <w:color w:val="000000" w:themeColor="text1"/>
          <w:sz w:val="24"/>
          <w:szCs w:val="24"/>
          <w:lang w:val="en-US"/>
        </w:rPr>
        <w:t>2020. Т. 82. № 4. С. 272–276.</w:t>
      </w:r>
    </w:p>
    <w:p w14:paraId="1B4243E6" w14:textId="77777777" w:rsidR="002C5D3A" w:rsidRPr="00AA73C9" w:rsidRDefault="002C5D3A" w:rsidP="00F20A95">
      <w:pPr>
        <w:pStyle w:val="a7"/>
        <w:numPr>
          <w:ilvl w:val="0"/>
          <w:numId w:val="15"/>
        </w:numPr>
        <w:spacing w:after="0" w:line="240" w:lineRule="auto"/>
        <w:ind w:firstLine="709"/>
        <w:jc w:val="both"/>
        <w:rPr>
          <w:rFonts w:ascii="Times New Roman" w:hAnsi="Times New Roman" w:cs="Times New Roman"/>
          <w:color w:val="000000" w:themeColor="text1"/>
          <w:sz w:val="24"/>
          <w:szCs w:val="24"/>
          <w:lang w:val="en-US"/>
        </w:rPr>
      </w:pPr>
      <w:r w:rsidRPr="00AA73C9">
        <w:rPr>
          <w:rFonts w:ascii="Times New Roman" w:hAnsi="Times New Roman" w:cs="Times New Roman"/>
          <w:color w:val="000000" w:themeColor="text1"/>
          <w:sz w:val="24"/>
          <w:szCs w:val="24"/>
        </w:rPr>
        <w:t xml:space="preserve">Селявский Ю.В., Куксин Р.П. Виртуальный мерчендайзинг: сущность и особенности применения в различных сферах // Современная наука: актуальные проблемы теории и практики. </w:t>
      </w:r>
      <w:r w:rsidRPr="00AA73C9">
        <w:rPr>
          <w:rFonts w:ascii="Times New Roman" w:hAnsi="Times New Roman" w:cs="Times New Roman"/>
          <w:color w:val="000000" w:themeColor="text1"/>
          <w:sz w:val="24"/>
          <w:szCs w:val="24"/>
          <w:lang w:val="en-US"/>
        </w:rPr>
        <w:t>2020. № 11-2. С. 54–57.</w:t>
      </w:r>
    </w:p>
    <w:p w14:paraId="58339C05" w14:textId="77777777" w:rsidR="002C5D3A" w:rsidRPr="00AA73C9" w:rsidRDefault="002C5D3A" w:rsidP="00F20A95">
      <w:pPr>
        <w:pStyle w:val="a7"/>
        <w:numPr>
          <w:ilvl w:val="0"/>
          <w:numId w:val="15"/>
        </w:numPr>
        <w:spacing w:after="0" w:line="240" w:lineRule="auto"/>
        <w:ind w:firstLine="709"/>
        <w:jc w:val="both"/>
        <w:rPr>
          <w:rFonts w:ascii="Times New Roman" w:hAnsi="Times New Roman" w:cs="Times New Roman"/>
          <w:color w:val="000000" w:themeColor="text1"/>
          <w:sz w:val="24"/>
          <w:szCs w:val="24"/>
          <w:lang w:val="en-US"/>
        </w:rPr>
      </w:pPr>
      <w:r w:rsidRPr="00AA73C9">
        <w:rPr>
          <w:rFonts w:ascii="Times New Roman" w:hAnsi="Times New Roman" w:cs="Times New Roman"/>
          <w:color w:val="000000" w:themeColor="text1"/>
          <w:sz w:val="24"/>
          <w:szCs w:val="24"/>
          <w:lang w:val="en-US"/>
        </w:rPr>
        <w:t>Park J., Khakimdjanova L. Online visual merchandising practice of apparel e-merchants // Journal of Retailing and Consumer. 2005. № 12(5). С. 307–318.</w:t>
      </w:r>
    </w:p>
    <w:p w14:paraId="4EF555BA" w14:textId="77777777" w:rsidR="002C5D3A" w:rsidRPr="00AA73C9" w:rsidRDefault="002C5D3A" w:rsidP="00F20A95">
      <w:pPr>
        <w:pStyle w:val="a7"/>
        <w:numPr>
          <w:ilvl w:val="0"/>
          <w:numId w:val="15"/>
        </w:numPr>
        <w:spacing w:after="0" w:line="240" w:lineRule="auto"/>
        <w:ind w:firstLine="709"/>
        <w:jc w:val="both"/>
        <w:rPr>
          <w:rFonts w:ascii="Times New Roman" w:hAnsi="Times New Roman" w:cs="Times New Roman"/>
          <w:color w:val="000000" w:themeColor="text1"/>
          <w:sz w:val="24"/>
          <w:szCs w:val="24"/>
          <w:lang w:val="en-US"/>
        </w:rPr>
      </w:pPr>
      <w:r w:rsidRPr="00AA73C9">
        <w:rPr>
          <w:rFonts w:ascii="Times New Roman" w:hAnsi="Times New Roman" w:cs="Times New Roman"/>
          <w:color w:val="000000" w:themeColor="text1"/>
          <w:sz w:val="24"/>
          <w:szCs w:val="24"/>
          <w:lang w:val="en-US"/>
        </w:rPr>
        <w:t>Bardi J. Top 4 reasons AR and VR are made for visual marketing // Marxent 3D. 2016. URL: https://www.marxentlabs.com (дата обращения: 24.10.2020).</w:t>
      </w:r>
    </w:p>
    <w:p w14:paraId="34E6A3ED" w14:textId="77777777" w:rsidR="002C5D3A" w:rsidRPr="00AA73C9" w:rsidRDefault="002C5D3A" w:rsidP="00F20A95">
      <w:pPr>
        <w:pStyle w:val="a7"/>
        <w:numPr>
          <w:ilvl w:val="0"/>
          <w:numId w:val="15"/>
        </w:numPr>
        <w:spacing w:after="0" w:line="240" w:lineRule="auto"/>
        <w:ind w:firstLine="709"/>
        <w:jc w:val="both"/>
        <w:rPr>
          <w:rFonts w:ascii="Times New Roman" w:hAnsi="Times New Roman" w:cs="Times New Roman"/>
          <w:color w:val="000000" w:themeColor="text1"/>
          <w:sz w:val="24"/>
          <w:szCs w:val="24"/>
        </w:rPr>
      </w:pPr>
      <w:r w:rsidRPr="00AA73C9">
        <w:rPr>
          <w:rFonts w:ascii="Times New Roman" w:hAnsi="Times New Roman" w:cs="Times New Roman"/>
          <w:color w:val="000000" w:themeColor="text1"/>
          <w:sz w:val="24"/>
          <w:szCs w:val="24"/>
          <w:lang w:val="en-US"/>
        </w:rPr>
        <w:t xml:space="preserve">Guenther D. Virtual reality merchandising // Accenture. </w:t>
      </w:r>
      <w:r w:rsidRPr="00AA73C9">
        <w:rPr>
          <w:rFonts w:ascii="Times New Roman" w:hAnsi="Times New Roman" w:cs="Times New Roman"/>
          <w:color w:val="000000" w:themeColor="text1"/>
          <w:sz w:val="24"/>
          <w:szCs w:val="24"/>
        </w:rPr>
        <w:t xml:space="preserve">2019. </w:t>
      </w:r>
      <w:r w:rsidRPr="00AA73C9">
        <w:rPr>
          <w:rFonts w:ascii="Times New Roman" w:hAnsi="Times New Roman" w:cs="Times New Roman"/>
          <w:color w:val="000000" w:themeColor="text1"/>
          <w:sz w:val="24"/>
          <w:szCs w:val="24"/>
          <w:lang w:val="en-US"/>
        </w:rPr>
        <w:t>URL</w:t>
      </w:r>
      <w:r w:rsidRPr="00AA73C9">
        <w:rPr>
          <w:rFonts w:ascii="Times New Roman" w:hAnsi="Times New Roman" w:cs="Times New Roman"/>
          <w:color w:val="000000" w:themeColor="text1"/>
          <w:sz w:val="24"/>
          <w:szCs w:val="24"/>
        </w:rPr>
        <w:t xml:space="preserve">: </w:t>
      </w:r>
      <w:r w:rsidRPr="00AA73C9">
        <w:rPr>
          <w:rFonts w:ascii="Times New Roman" w:hAnsi="Times New Roman" w:cs="Times New Roman"/>
          <w:color w:val="000000" w:themeColor="text1"/>
          <w:sz w:val="24"/>
          <w:szCs w:val="24"/>
          <w:lang w:val="en-US"/>
        </w:rPr>
        <w:t>https</w:t>
      </w:r>
      <w:r w:rsidRPr="00AA73C9">
        <w:rPr>
          <w:rFonts w:ascii="Times New Roman" w:hAnsi="Times New Roman" w:cs="Times New Roman"/>
          <w:color w:val="000000" w:themeColor="text1"/>
          <w:sz w:val="24"/>
          <w:szCs w:val="24"/>
        </w:rPr>
        <w:t>://</w:t>
      </w:r>
      <w:r w:rsidRPr="00AA73C9">
        <w:rPr>
          <w:rFonts w:ascii="Times New Roman" w:hAnsi="Times New Roman" w:cs="Times New Roman"/>
          <w:color w:val="000000" w:themeColor="text1"/>
          <w:sz w:val="24"/>
          <w:szCs w:val="24"/>
          <w:lang w:val="en-US"/>
        </w:rPr>
        <w:t>www</w:t>
      </w:r>
      <w:r w:rsidRPr="00AA73C9">
        <w:rPr>
          <w:rFonts w:ascii="Times New Roman" w:hAnsi="Times New Roman" w:cs="Times New Roman"/>
          <w:color w:val="000000" w:themeColor="text1"/>
          <w:sz w:val="24"/>
          <w:szCs w:val="24"/>
        </w:rPr>
        <w:t>.</w:t>
      </w:r>
      <w:r w:rsidRPr="00AA73C9">
        <w:rPr>
          <w:rFonts w:ascii="Times New Roman" w:hAnsi="Times New Roman" w:cs="Times New Roman"/>
          <w:color w:val="000000" w:themeColor="text1"/>
          <w:sz w:val="24"/>
          <w:szCs w:val="24"/>
          <w:lang w:val="en-US"/>
        </w:rPr>
        <w:t>accenture</w:t>
      </w:r>
      <w:r w:rsidRPr="00AA73C9">
        <w:rPr>
          <w:rFonts w:ascii="Times New Roman" w:hAnsi="Times New Roman" w:cs="Times New Roman"/>
          <w:color w:val="000000" w:themeColor="text1"/>
          <w:sz w:val="24"/>
          <w:szCs w:val="24"/>
        </w:rPr>
        <w:t>.</w:t>
      </w:r>
      <w:r w:rsidRPr="00AA73C9">
        <w:rPr>
          <w:rFonts w:ascii="Times New Roman" w:hAnsi="Times New Roman" w:cs="Times New Roman"/>
          <w:color w:val="000000" w:themeColor="text1"/>
          <w:sz w:val="24"/>
          <w:szCs w:val="24"/>
          <w:lang w:val="en-US"/>
        </w:rPr>
        <w:t>com</w:t>
      </w:r>
      <w:r w:rsidRPr="00AA73C9">
        <w:rPr>
          <w:rFonts w:ascii="Times New Roman" w:hAnsi="Times New Roman" w:cs="Times New Roman"/>
          <w:color w:val="000000" w:themeColor="text1"/>
          <w:sz w:val="24"/>
          <w:szCs w:val="24"/>
        </w:rPr>
        <w:t xml:space="preserve"> (дата обращения: 24.10.2020).</w:t>
      </w:r>
    </w:p>
    <w:p w14:paraId="04320B7F" w14:textId="607D14D9" w:rsidR="002C5D3A" w:rsidRPr="00F20A95" w:rsidRDefault="002C5D3A" w:rsidP="00F20A95">
      <w:pPr>
        <w:pStyle w:val="a7"/>
        <w:spacing w:after="0" w:line="240" w:lineRule="auto"/>
        <w:ind w:firstLine="709"/>
        <w:jc w:val="both"/>
        <w:rPr>
          <w:rFonts w:ascii="Times New Roman" w:hAnsi="Times New Roman" w:cs="Times New Roman"/>
          <w:sz w:val="24"/>
          <w:szCs w:val="24"/>
        </w:rPr>
      </w:pPr>
    </w:p>
    <w:sectPr w:rsidR="002C5D3A" w:rsidRPr="00F20A95" w:rsidSect="007028AA">
      <w:pgSz w:w="11906" w:h="16838"/>
      <w:pgMar w:top="1134" w:right="1134" w:bottom="1134" w:left="1134" w:header="737"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B278B8" w14:textId="77777777" w:rsidR="00092926" w:rsidRDefault="00092926" w:rsidP="007028AA">
      <w:pPr>
        <w:spacing w:after="0" w:line="240" w:lineRule="auto"/>
      </w:pPr>
      <w:r>
        <w:separator/>
      </w:r>
    </w:p>
  </w:endnote>
  <w:endnote w:type="continuationSeparator" w:id="0">
    <w:p w14:paraId="6859CAF1" w14:textId="77777777" w:rsidR="00092926" w:rsidRDefault="00092926" w:rsidP="007028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0DD730" w14:textId="77777777" w:rsidR="00092926" w:rsidRDefault="00092926" w:rsidP="007028AA">
      <w:pPr>
        <w:spacing w:after="0" w:line="240" w:lineRule="auto"/>
      </w:pPr>
      <w:r>
        <w:separator/>
      </w:r>
    </w:p>
  </w:footnote>
  <w:footnote w:type="continuationSeparator" w:id="0">
    <w:p w14:paraId="54940131" w14:textId="77777777" w:rsidR="00092926" w:rsidRDefault="00092926" w:rsidP="007028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1235DB"/>
    <w:multiLevelType w:val="hybridMultilevel"/>
    <w:tmpl w:val="B3AC8074"/>
    <w:lvl w:ilvl="0" w:tplc="1C8C9C3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83A7688"/>
    <w:multiLevelType w:val="hybridMultilevel"/>
    <w:tmpl w:val="3C2CCC22"/>
    <w:lvl w:ilvl="0" w:tplc="1C8C9C3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DF52467"/>
    <w:multiLevelType w:val="hybridMultilevel"/>
    <w:tmpl w:val="CC3243B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402921B5"/>
    <w:multiLevelType w:val="hybridMultilevel"/>
    <w:tmpl w:val="9984E25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3CD40D3"/>
    <w:multiLevelType w:val="multilevel"/>
    <w:tmpl w:val="2714AC8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5E05E47"/>
    <w:multiLevelType w:val="hybridMultilevel"/>
    <w:tmpl w:val="CC3243BE"/>
    <w:lvl w:ilvl="0" w:tplc="FFFFFFFF">
      <w:start w:val="1"/>
      <w:numFmt w:val="decimal"/>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 w15:restartNumberingAfterBreak="0">
    <w:nsid w:val="49126AA8"/>
    <w:multiLevelType w:val="hybridMultilevel"/>
    <w:tmpl w:val="8E1A1E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A83537D"/>
    <w:multiLevelType w:val="hybridMultilevel"/>
    <w:tmpl w:val="5D78402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4EB40C79"/>
    <w:multiLevelType w:val="hybridMultilevel"/>
    <w:tmpl w:val="81227ED4"/>
    <w:lvl w:ilvl="0" w:tplc="1C8C9C3C">
      <w:start w:val="1"/>
      <w:numFmt w:val="bullet"/>
      <w:lvlText w:val="­"/>
      <w:lvlJc w:val="left"/>
      <w:pPr>
        <w:ind w:left="1429" w:hanging="360"/>
      </w:pPr>
      <w:rPr>
        <w:rFonts w:ascii="Courier New" w:hAnsi="Courier New"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51613109"/>
    <w:multiLevelType w:val="hybridMultilevel"/>
    <w:tmpl w:val="D67AA124"/>
    <w:lvl w:ilvl="0" w:tplc="1C8C9C3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28C13D3"/>
    <w:multiLevelType w:val="hybridMultilevel"/>
    <w:tmpl w:val="73FE76A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584811E0"/>
    <w:multiLevelType w:val="multilevel"/>
    <w:tmpl w:val="E3328F6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9363C1E"/>
    <w:multiLevelType w:val="hybridMultilevel"/>
    <w:tmpl w:val="09E0122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5AC33DB6"/>
    <w:multiLevelType w:val="hybridMultilevel"/>
    <w:tmpl w:val="4F18B6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E3B36D7"/>
    <w:multiLevelType w:val="hybridMultilevel"/>
    <w:tmpl w:val="490E14C8"/>
    <w:lvl w:ilvl="0" w:tplc="1C8C9C3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E5E7BBB"/>
    <w:multiLevelType w:val="hybridMultilevel"/>
    <w:tmpl w:val="A20083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B417B0C"/>
    <w:multiLevelType w:val="multilevel"/>
    <w:tmpl w:val="2714AC8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F875B1F"/>
    <w:multiLevelType w:val="hybridMultilevel"/>
    <w:tmpl w:val="158E3ABE"/>
    <w:lvl w:ilvl="0" w:tplc="1C8C9C3C">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5D00325"/>
    <w:multiLevelType w:val="hybridMultilevel"/>
    <w:tmpl w:val="0DB65B7C"/>
    <w:lvl w:ilvl="0" w:tplc="1C8C9C3C">
      <w:start w:val="1"/>
      <w:numFmt w:val="bullet"/>
      <w:lvlText w:val="­"/>
      <w:lvlJc w:val="left"/>
      <w:pPr>
        <w:ind w:left="1429" w:hanging="360"/>
      </w:pPr>
      <w:rPr>
        <w:rFonts w:ascii="Courier New" w:hAnsi="Courier New"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num w:numId="1">
    <w:abstractNumId w:val="12"/>
  </w:num>
  <w:num w:numId="2">
    <w:abstractNumId w:val="2"/>
  </w:num>
  <w:num w:numId="3">
    <w:abstractNumId w:val="5"/>
  </w:num>
  <w:num w:numId="4">
    <w:abstractNumId w:val="0"/>
  </w:num>
  <w:num w:numId="5">
    <w:abstractNumId w:val="10"/>
  </w:num>
  <w:num w:numId="6">
    <w:abstractNumId w:val="18"/>
  </w:num>
  <w:num w:numId="7">
    <w:abstractNumId w:val="8"/>
  </w:num>
  <w:num w:numId="8">
    <w:abstractNumId w:val="17"/>
  </w:num>
  <w:num w:numId="9">
    <w:abstractNumId w:val="9"/>
  </w:num>
  <w:num w:numId="10">
    <w:abstractNumId w:val="1"/>
  </w:num>
  <w:num w:numId="11">
    <w:abstractNumId w:val="7"/>
  </w:num>
  <w:num w:numId="12">
    <w:abstractNumId w:val="11"/>
  </w:num>
  <w:num w:numId="13">
    <w:abstractNumId w:val="4"/>
  </w:num>
  <w:num w:numId="14">
    <w:abstractNumId w:val="16"/>
  </w:num>
  <w:num w:numId="15">
    <w:abstractNumId w:val="6"/>
  </w:num>
  <w:num w:numId="16">
    <w:abstractNumId w:val="15"/>
  </w:num>
  <w:num w:numId="17">
    <w:abstractNumId w:val="3"/>
  </w:num>
  <w:num w:numId="18">
    <w:abstractNumId w:val="13"/>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6B0"/>
    <w:rsid w:val="000064BD"/>
    <w:rsid w:val="00010E73"/>
    <w:rsid w:val="00023745"/>
    <w:rsid w:val="00092926"/>
    <w:rsid w:val="001D53E7"/>
    <w:rsid w:val="002C5D3A"/>
    <w:rsid w:val="00324164"/>
    <w:rsid w:val="004A1146"/>
    <w:rsid w:val="004C12AB"/>
    <w:rsid w:val="005352D3"/>
    <w:rsid w:val="005A136C"/>
    <w:rsid w:val="005F5128"/>
    <w:rsid w:val="006C7AF1"/>
    <w:rsid w:val="006E77F1"/>
    <w:rsid w:val="007028AA"/>
    <w:rsid w:val="00782178"/>
    <w:rsid w:val="007A1B54"/>
    <w:rsid w:val="008E07D9"/>
    <w:rsid w:val="008F1B2D"/>
    <w:rsid w:val="00934CF2"/>
    <w:rsid w:val="009836C6"/>
    <w:rsid w:val="00A246B0"/>
    <w:rsid w:val="00A479D1"/>
    <w:rsid w:val="00A82FEA"/>
    <w:rsid w:val="00AA73C9"/>
    <w:rsid w:val="00AD46AF"/>
    <w:rsid w:val="00AE3A18"/>
    <w:rsid w:val="00B8389B"/>
    <w:rsid w:val="00BC798C"/>
    <w:rsid w:val="00D52BCF"/>
    <w:rsid w:val="00DA1E91"/>
    <w:rsid w:val="00F20A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2022C"/>
  <w15:chartTrackingRefBased/>
  <w15:docId w15:val="{D528550A-2963-45C7-89D1-2FD26FAF1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A246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246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246B0"/>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246B0"/>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246B0"/>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246B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246B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246B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246B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246B0"/>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246B0"/>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246B0"/>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246B0"/>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246B0"/>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246B0"/>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246B0"/>
    <w:rPr>
      <w:rFonts w:eastAsiaTheme="majorEastAsia" w:cstheme="majorBidi"/>
      <w:color w:val="595959" w:themeColor="text1" w:themeTint="A6"/>
    </w:rPr>
  </w:style>
  <w:style w:type="character" w:customStyle="1" w:styleId="80">
    <w:name w:val="Заголовок 8 Знак"/>
    <w:basedOn w:val="a0"/>
    <w:link w:val="8"/>
    <w:uiPriority w:val="9"/>
    <w:semiHidden/>
    <w:rsid w:val="00A246B0"/>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246B0"/>
    <w:rPr>
      <w:rFonts w:eastAsiaTheme="majorEastAsia" w:cstheme="majorBidi"/>
      <w:color w:val="272727" w:themeColor="text1" w:themeTint="D8"/>
    </w:rPr>
  </w:style>
  <w:style w:type="paragraph" w:styleId="a3">
    <w:name w:val="Title"/>
    <w:basedOn w:val="a"/>
    <w:next w:val="a"/>
    <w:link w:val="a4"/>
    <w:uiPriority w:val="10"/>
    <w:qFormat/>
    <w:rsid w:val="00A246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246B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246B0"/>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246B0"/>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246B0"/>
    <w:pPr>
      <w:spacing w:before="160"/>
      <w:jc w:val="center"/>
    </w:pPr>
    <w:rPr>
      <w:i/>
      <w:iCs/>
      <w:color w:val="404040" w:themeColor="text1" w:themeTint="BF"/>
    </w:rPr>
  </w:style>
  <w:style w:type="character" w:customStyle="1" w:styleId="22">
    <w:name w:val="Цитата 2 Знак"/>
    <w:basedOn w:val="a0"/>
    <w:link w:val="21"/>
    <w:uiPriority w:val="29"/>
    <w:rsid w:val="00A246B0"/>
    <w:rPr>
      <w:i/>
      <w:iCs/>
      <w:color w:val="404040" w:themeColor="text1" w:themeTint="BF"/>
    </w:rPr>
  </w:style>
  <w:style w:type="paragraph" w:styleId="a7">
    <w:name w:val="List Paragraph"/>
    <w:basedOn w:val="a"/>
    <w:uiPriority w:val="34"/>
    <w:qFormat/>
    <w:rsid w:val="00A246B0"/>
    <w:pPr>
      <w:ind w:left="720"/>
      <w:contextualSpacing/>
    </w:pPr>
  </w:style>
  <w:style w:type="character" w:styleId="a8">
    <w:name w:val="Intense Emphasis"/>
    <w:basedOn w:val="a0"/>
    <w:uiPriority w:val="21"/>
    <w:qFormat/>
    <w:rsid w:val="00A246B0"/>
    <w:rPr>
      <w:i/>
      <w:iCs/>
      <w:color w:val="2F5496" w:themeColor="accent1" w:themeShade="BF"/>
    </w:rPr>
  </w:style>
  <w:style w:type="paragraph" w:styleId="a9">
    <w:name w:val="Intense Quote"/>
    <w:basedOn w:val="a"/>
    <w:next w:val="a"/>
    <w:link w:val="aa"/>
    <w:uiPriority w:val="30"/>
    <w:qFormat/>
    <w:rsid w:val="00A246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246B0"/>
    <w:rPr>
      <w:i/>
      <w:iCs/>
      <w:color w:val="2F5496" w:themeColor="accent1" w:themeShade="BF"/>
    </w:rPr>
  </w:style>
  <w:style w:type="character" w:styleId="ab">
    <w:name w:val="Intense Reference"/>
    <w:basedOn w:val="a0"/>
    <w:uiPriority w:val="32"/>
    <w:qFormat/>
    <w:rsid w:val="00A246B0"/>
    <w:rPr>
      <w:b/>
      <w:bCs/>
      <w:smallCaps/>
      <w:color w:val="2F5496" w:themeColor="accent1" w:themeShade="BF"/>
      <w:spacing w:val="5"/>
    </w:rPr>
  </w:style>
  <w:style w:type="table" w:styleId="ac">
    <w:name w:val="Table Grid"/>
    <w:basedOn w:val="a1"/>
    <w:uiPriority w:val="39"/>
    <w:rsid w:val="008E07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
    <w:link w:val="ae"/>
    <w:uiPriority w:val="99"/>
    <w:unhideWhenUsed/>
    <w:rsid w:val="007028AA"/>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7028AA"/>
  </w:style>
  <w:style w:type="paragraph" w:styleId="af">
    <w:name w:val="footer"/>
    <w:basedOn w:val="a"/>
    <w:link w:val="af0"/>
    <w:uiPriority w:val="99"/>
    <w:unhideWhenUsed/>
    <w:rsid w:val="007028AA"/>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7028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877291">
      <w:bodyDiv w:val="1"/>
      <w:marLeft w:val="0"/>
      <w:marRight w:val="0"/>
      <w:marTop w:val="0"/>
      <w:marBottom w:val="0"/>
      <w:divBdr>
        <w:top w:val="none" w:sz="0" w:space="0" w:color="auto"/>
        <w:left w:val="none" w:sz="0" w:space="0" w:color="auto"/>
        <w:bottom w:val="none" w:sz="0" w:space="0" w:color="auto"/>
        <w:right w:val="none" w:sz="0" w:space="0" w:color="auto"/>
      </w:divBdr>
    </w:div>
    <w:div w:id="460341829">
      <w:bodyDiv w:val="1"/>
      <w:marLeft w:val="0"/>
      <w:marRight w:val="0"/>
      <w:marTop w:val="0"/>
      <w:marBottom w:val="0"/>
      <w:divBdr>
        <w:top w:val="none" w:sz="0" w:space="0" w:color="auto"/>
        <w:left w:val="none" w:sz="0" w:space="0" w:color="auto"/>
        <w:bottom w:val="none" w:sz="0" w:space="0" w:color="auto"/>
        <w:right w:val="none" w:sz="0" w:space="0" w:color="auto"/>
      </w:divBdr>
    </w:div>
    <w:div w:id="1586182999">
      <w:bodyDiv w:val="1"/>
      <w:marLeft w:val="0"/>
      <w:marRight w:val="0"/>
      <w:marTop w:val="0"/>
      <w:marBottom w:val="0"/>
      <w:divBdr>
        <w:top w:val="none" w:sz="0" w:space="0" w:color="auto"/>
        <w:left w:val="none" w:sz="0" w:space="0" w:color="auto"/>
        <w:bottom w:val="none" w:sz="0" w:space="0" w:color="auto"/>
        <w:right w:val="none" w:sz="0" w:space="0" w:color="auto"/>
      </w:divBdr>
    </w:div>
    <w:div w:id="197081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B403B6-C2EA-4470-A241-E495F7AC2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2337</Words>
  <Characters>13322</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Bakanova</dc:creator>
  <cp:keywords/>
  <dc:description/>
  <cp:lastModifiedBy>Тилиндис Татьяна</cp:lastModifiedBy>
  <cp:revision>2</cp:revision>
  <dcterms:created xsi:type="dcterms:W3CDTF">2025-06-16T22:38:00Z</dcterms:created>
  <dcterms:modified xsi:type="dcterms:W3CDTF">2025-06-16T22:38:00Z</dcterms:modified>
</cp:coreProperties>
</file>